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38" w:rsidRDefault="00D27F38" w:rsidP="00D27F38">
      <w:pPr>
        <w:rPr>
          <w:rFonts w:cs="Arial"/>
          <w:b/>
          <w:sz w:val="24"/>
        </w:rPr>
      </w:pPr>
      <w:r w:rsidRPr="00FC1CA0">
        <w:rPr>
          <w:rFonts w:cs="Arial"/>
          <w:b/>
          <w:sz w:val="24"/>
        </w:rPr>
        <w:t xml:space="preserve">Beschreibung der technischen und organisatorischen </w:t>
      </w:r>
      <w:r>
        <w:rPr>
          <w:rFonts w:cs="Arial"/>
          <w:b/>
          <w:sz w:val="24"/>
        </w:rPr>
        <w:t xml:space="preserve">im </w:t>
      </w:r>
      <w:r w:rsidRPr="00E939A4">
        <w:rPr>
          <w:rFonts w:cs="Arial"/>
          <w:b/>
          <w:sz w:val="24"/>
          <w:highlight w:val="lightGray"/>
        </w:rPr>
        <w:t>Serverstandort des Auftragnehmers</w:t>
      </w:r>
      <w:r>
        <w:rPr>
          <w:rFonts w:cs="Arial"/>
          <w:b/>
          <w:sz w:val="24"/>
        </w:rPr>
        <w:t xml:space="preserve"> gemäß Artikel 32 DSGVO</w:t>
      </w:r>
    </w:p>
    <w:p w:rsidR="00D27F38" w:rsidRDefault="00D27F38" w:rsidP="00D27F38">
      <w:pPr>
        <w:rPr>
          <w:rFonts w:cs="Arial"/>
          <w:b/>
          <w:sz w:val="24"/>
        </w:rPr>
      </w:pPr>
    </w:p>
    <w:p w:rsidR="00D27F38" w:rsidRDefault="00D27F38" w:rsidP="00D27F38">
      <w:pPr>
        <w:jc w:val="both"/>
        <w:rPr>
          <w:rFonts w:cs="Arial"/>
        </w:rPr>
      </w:pPr>
      <w:r w:rsidRPr="00C55E94">
        <w:rPr>
          <w:rFonts w:cs="Arial"/>
        </w:rPr>
        <w:t>Im Folgenden werden die technischen und organisatorischen Maßnahmen zur Gewährlei</w:t>
      </w:r>
      <w:r w:rsidRPr="00C55E94">
        <w:rPr>
          <w:rFonts w:cs="Arial"/>
        </w:rPr>
        <w:t>s</w:t>
      </w:r>
      <w:r w:rsidRPr="00C55E94">
        <w:rPr>
          <w:rFonts w:cs="Arial"/>
        </w:rPr>
        <w:t>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rsidR="00D27F38" w:rsidRDefault="00D27F38" w:rsidP="00D27F38">
      <w:pPr>
        <w:jc w:val="both"/>
        <w:rPr>
          <w:rFonts w:cs="Arial"/>
        </w:rPr>
      </w:pPr>
    </w:p>
    <w:p w:rsidR="00D27F38" w:rsidRPr="00C55E94" w:rsidRDefault="00D27F38" w:rsidP="00D27F38">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6"/>
        </w:rPr>
      </w:pPr>
      <w:r w:rsidRPr="00C55E94">
        <w:rPr>
          <w:rFonts w:cs="Arial"/>
          <w:sz w:val="16"/>
        </w:rPr>
        <w:t>Die Maßnahmen müssen im Interesse beider Parteien so konkret wie möglich beschrieben werden! Sie sind Maßstab für Ko</w:t>
      </w:r>
      <w:r w:rsidRPr="00C55E94">
        <w:rPr>
          <w:rFonts w:cs="Arial"/>
          <w:sz w:val="16"/>
        </w:rPr>
        <w:t>n</w:t>
      </w:r>
      <w:r w:rsidRPr="00C55E94">
        <w:rPr>
          <w:rFonts w:cs="Arial"/>
          <w:sz w:val="16"/>
        </w:rPr>
        <w:t>trollen durch den Auftraggeber und auch für die Frage entscheidend, ob möglicherweise ein Pflichtverstoß vorliegt. In dieser Anlage wird ganz maßgeblich festgelegt, was der Auftragnehmer zu leisten und nachzuweisen hat und was nicht. Unklare oder interpretationsfähige Umschreibungen sind dringend zu vermeiden!</w:t>
      </w:r>
    </w:p>
    <w:p w:rsidR="00D27F38" w:rsidRPr="00C55E94" w:rsidRDefault="00D27F38" w:rsidP="00D27F38">
      <w:pPr>
        <w:rPr>
          <w:rFonts w:cs="Arial"/>
        </w:rPr>
      </w:pPr>
    </w:p>
    <w:p w:rsidR="00D27F38" w:rsidRPr="00C55E94" w:rsidRDefault="00D27F38" w:rsidP="00D27F38">
      <w:pPr>
        <w:rPr>
          <w:rFonts w:cs="Arial"/>
        </w:rPr>
      </w:pPr>
      <w:r w:rsidRPr="00C55E94">
        <w:rPr>
          <w:rFonts w:cs="Arial"/>
        </w:rPr>
        <w:t>Für die Vernichtung gem. DIN 66399 gilt Schutzklasse 1.</w:t>
      </w:r>
    </w:p>
    <w:p w:rsidR="00D27F38" w:rsidRPr="00C55E94" w:rsidRDefault="00D27F38" w:rsidP="00D27F38">
      <w:pPr>
        <w:pStyle w:val="Listenabsatz"/>
        <w:numPr>
          <w:ilvl w:val="0"/>
          <w:numId w:val="2"/>
        </w:numPr>
        <w:ind w:left="357" w:hanging="357"/>
        <w:rPr>
          <w:rFonts w:cs="Arial"/>
        </w:rPr>
      </w:pPr>
      <w:r w:rsidRPr="00C55E94">
        <w:rPr>
          <w:rFonts w:cs="Arial"/>
        </w:rPr>
        <w:t>Organisation der Informationssicherheit</w:t>
      </w:r>
    </w:p>
    <w:p w:rsidR="00D27F38" w:rsidRPr="00C55E94" w:rsidRDefault="00D27F38" w:rsidP="00D27F38">
      <w:pPr>
        <w:pStyle w:val="Listenabsatz"/>
        <w:numPr>
          <w:ilvl w:val="0"/>
          <w:numId w:val="2"/>
        </w:numPr>
        <w:ind w:left="357" w:hanging="357"/>
        <w:rPr>
          <w:rFonts w:cs="Arial"/>
        </w:rPr>
      </w:pPr>
      <w:r w:rsidRPr="00C55E94">
        <w:rPr>
          <w:rFonts w:cs="Arial"/>
        </w:rPr>
        <w:t>Personalsicherheit</w:t>
      </w:r>
    </w:p>
    <w:p w:rsidR="00D27F38" w:rsidRPr="00C55E94" w:rsidRDefault="00D27F38" w:rsidP="00D27F38">
      <w:pPr>
        <w:pStyle w:val="Listenabsatz"/>
        <w:numPr>
          <w:ilvl w:val="0"/>
          <w:numId w:val="2"/>
        </w:numPr>
        <w:ind w:left="357" w:hanging="357"/>
        <w:rPr>
          <w:rFonts w:cs="Arial"/>
        </w:rPr>
      </w:pPr>
      <w:r w:rsidRPr="00C55E94">
        <w:rPr>
          <w:rFonts w:cs="Arial"/>
        </w:rPr>
        <w:t>Verwaltung der Werte</w:t>
      </w:r>
    </w:p>
    <w:p w:rsidR="00D27F38" w:rsidRPr="00C55E94" w:rsidRDefault="00D27F38" w:rsidP="00D27F38">
      <w:pPr>
        <w:pStyle w:val="Listenabsatz"/>
        <w:numPr>
          <w:ilvl w:val="0"/>
          <w:numId w:val="2"/>
        </w:numPr>
        <w:ind w:left="357" w:hanging="357"/>
        <w:rPr>
          <w:rFonts w:cs="Arial"/>
        </w:rPr>
      </w:pPr>
      <w:r w:rsidRPr="00C55E94">
        <w:rPr>
          <w:rFonts w:cs="Arial"/>
        </w:rPr>
        <w:t>Zugangssteuerung</w:t>
      </w:r>
    </w:p>
    <w:p w:rsidR="00D27F38" w:rsidRPr="00C55E94" w:rsidRDefault="00D27F38" w:rsidP="00D27F38">
      <w:pPr>
        <w:pStyle w:val="Listenabsatz"/>
        <w:numPr>
          <w:ilvl w:val="0"/>
          <w:numId w:val="2"/>
        </w:numPr>
        <w:ind w:left="357" w:hanging="357"/>
        <w:rPr>
          <w:rFonts w:cs="Arial"/>
        </w:rPr>
      </w:pPr>
      <w:r w:rsidRPr="00C55E94">
        <w:rPr>
          <w:rFonts w:cs="Arial"/>
        </w:rPr>
        <w:t>Kryptographie</w:t>
      </w:r>
    </w:p>
    <w:p w:rsidR="00D27F38" w:rsidRPr="00C55E94" w:rsidRDefault="00D27F38" w:rsidP="00D27F38">
      <w:pPr>
        <w:pStyle w:val="Listenabsatz"/>
        <w:numPr>
          <w:ilvl w:val="0"/>
          <w:numId w:val="2"/>
        </w:numPr>
        <w:ind w:left="357" w:hanging="357"/>
        <w:rPr>
          <w:rFonts w:cs="Arial"/>
        </w:rPr>
      </w:pPr>
      <w:r w:rsidRPr="00C55E94">
        <w:rPr>
          <w:rFonts w:cs="Arial"/>
        </w:rPr>
        <w:t>Physische und umgebungsbezogene Sicherheit</w:t>
      </w:r>
    </w:p>
    <w:p w:rsidR="00D27F38" w:rsidRPr="00C55E94" w:rsidRDefault="00D27F38" w:rsidP="00D27F38">
      <w:pPr>
        <w:pStyle w:val="Listenabsatz"/>
        <w:numPr>
          <w:ilvl w:val="0"/>
          <w:numId w:val="2"/>
        </w:numPr>
        <w:ind w:left="357" w:hanging="357"/>
        <w:rPr>
          <w:rFonts w:cs="Arial"/>
        </w:rPr>
      </w:pPr>
      <w:r w:rsidRPr="00C55E94">
        <w:rPr>
          <w:rFonts w:cs="Arial"/>
        </w:rPr>
        <w:t>Betriebssicherheit</w:t>
      </w:r>
    </w:p>
    <w:p w:rsidR="00D27F38" w:rsidRPr="00C55E94" w:rsidRDefault="00D27F38" w:rsidP="00D27F38">
      <w:pPr>
        <w:pStyle w:val="Listenabsatz"/>
        <w:numPr>
          <w:ilvl w:val="0"/>
          <w:numId w:val="2"/>
        </w:numPr>
        <w:ind w:left="357" w:hanging="357"/>
        <w:rPr>
          <w:rFonts w:cs="Arial"/>
        </w:rPr>
      </w:pPr>
      <w:r w:rsidRPr="00C55E94">
        <w:rPr>
          <w:rFonts w:cs="Arial"/>
        </w:rPr>
        <w:t>Kommunikationssicherheit</w:t>
      </w:r>
    </w:p>
    <w:p w:rsidR="00D27F38" w:rsidRPr="00C55E94" w:rsidRDefault="00D27F38" w:rsidP="00D27F38">
      <w:pPr>
        <w:pStyle w:val="Listenabsatz"/>
        <w:numPr>
          <w:ilvl w:val="0"/>
          <w:numId w:val="2"/>
        </w:numPr>
        <w:ind w:left="357" w:hanging="357"/>
        <w:rPr>
          <w:rFonts w:cs="Arial"/>
        </w:rPr>
      </w:pPr>
      <w:r w:rsidRPr="00C55E94">
        <w:rPr>
          <w:rFonts w:cs="Arial"/>
        </w:rPr>
        <w:t>Anschaffung, Entwicklung und Instandhaltung von Systemen</w:t>
      </w:r>
    </w:p>
    <w:p w:rsidR="00D27F38" w:rsidRPr="00C55E94" w:rsidRDefault="00D27F38" w:rsidP="00D27F38">
      <w:pPr>
        <w:pStyle w:val="Listenabsatz"/>
        <w:numPr>
          <w:ilvl w:val="0"/>
          <w:numId w:val="2"/>
        </w:numPr>
        <w:ind w:left="357" w:hanging="357"/>
        <w:rPr>
          <w:rFonts w:cs="Arial"/>
        </w:rPr>
      </w:pPr>
      <w:r w:rsidRPr="00C55E94">
        <w:rPr>
          <w:rFonts w:cs="Arial"/>
        </w:rPr>
        <w:t>Lieferantenbeziehungen</w:t>
      </w:r>
    </w:p>
    <w:p w:rsidR="00D27F38" w:rsidRPr="00C55E94" w:rsidRDefault="00D27F38" w:rsidP="00D27F38">
      <w:pPr>
        <w:pStyle w:val="Listenabsatz"/>
        <w:numPr>
          <w:ilvl w:val="0"/>
          <w:numId w:val="2"/>
        </w:numPr>
        <w:ind w:left="357" w:hanging="357"/>
        <w:rPr>
          <w:rFonts w:cs="Arial"/>
        </w:rPr>
      </w:pPr>
      <w:r w:rsidRPr="00C55E94">
        <w:rPr>
          <w:rFonts w:cs="Arial"/>
        </w:rPr>
        <w:t>Handhabung von Informationssicherheitsvorfällen</w:t>
      </w:r>
    </w:p>
    <w:p w:rsidR="00D27F38" w:rsidRPr="00C55E94" w:rsidRDefault="00D27F38" w:rsidP="00D27F38">
      <w:pPr>
        <w:pStyle w:val="Listenabsatz"/>
        <w:numPr>
          <w:ilvl w:val="0"/>
          <w:numId w:val="2"/>
        </w:numPr>
        <w:ind w:left="357" w:hanging="357"/>
        <w:rPr>
          <w:rFonts w:cs="Arial"/>
        </w:rPr>
      </w:pPr>
      <w:r w:rsidRPr="00C55E94">
        <w:rPr>
          <w:rFonts w:cs="Arial"/>
        </w:rPr>
        <w:t xml:space="preserve">Informationssicherheitsaspekte beim Business </w:t>
      </w:r>
      <w:proofErr w:type="spellStart"/>
      <w:r w:rsidRPr="00C55E94">
        <w:rPr>
          <w:rFonts w:cs="Arial"/>
        </w:rPr>
        <w:t>Continuity</w:t>
      </w:r>
      <w:proofErr w:type="spellEnd"/>
      <w:r w:rsidRPr="00C55E94">
        <w:rPr>
          <w:rFonts w:cs="Arial"/>
        </w:rPr>
        <w:t xml:space="preserve"> Management</w:t>
      </w:r>
    </w:p>
    <w:p w:rsidR="00D27F38" w:rsidRPr="00C55E94" w:rsidRDefault="00D27F38" w:rsidP="00D27F38">
      <w:pPr>
        <w:pStyle w:val="Listenabsatz"/>
        <w:numPr>
          <w:ilvl w:val="0"/>
          <w:numId w:val="2"/>
        </w:numPr>
        <w:ind w:left="357" w:hanging="357"/>
        <w:rPr>
          <w:rFonts w:cs="Arial"/>
        </w:rPr>
      </w:pPr>
      <w:r w:rsidRPr="00C55E94">
        <w:rPr>
          <w:rFonts w:cs="Arial"/>
        </w:rPr>
        <w:t>Compliance</w:t>
      </w:r>
    </w:p>
    <w:p w:rsidR="00D27F38" w:rsidRDefault="00D27F38" w:rsidP="00D27F38">
      <w:pPr>
        <w:rPr>
          <w:rFonts w:cs="Arial"/>
          <w:b/>
          <w:sz w:val="24"/>
        </w:rPr>
      </w:pPr>
    </w:p>
    <w:p w:rsidR="00D27F38" w:rsidRDefault="00D27F38" w:rsidP="00D27F38">
      <w:pPr>
        <w:rPr>
          <w:rFonts w:cs="Arial"/>
          <w:b/>
          <w:sz w:val="24"/>
        </w:rPr>
      </w:pPr>
    </w:p>
    <w:p w:rsidR="00D27F38" w:rsidRDefault="00D27F38" w:rsidP="00D27F38">
      <w:pPr>
        <w:rPr>
          <w:rFonts w:cs="Arial"/>
          <w:b/>
          <w:sz w:val="24"/>
        </w:rPr>
      </w:pPr>
      <w:r>
        <w:rPr>
          <w:rFonts w:cs="Arial"/>
          <w:b/>
          <w:sz w:val="24"/>
        </w:rPr>
        <w:br w:type="page"/>
      </w:r>
    </w:p>
    <w:p w:rsidR="00D27F38" w:rsidRDefault="00D27F38" w:rsidP="00D27F38">
      <w:pPr>
        <w:rPr>
          <w:rFonts w:cs="Arial"/>
          <w:b/>
          <w:sz w:val="24"/>
        </w:rPr>
      </w:pPr>
      <w:commentRangeStart w:id="0"/>
      <w:r>
        <w:rPr>
          <w:rFonts w:cs="Arial"/>
          <w:b/>
          <w:sz w:val="24"/>
        </w:rPr>
        <w:lastRenderedPageBreak/>
        <w:t>B</w:t>
      </w:r>
      <w:r>
        <w:rPr>
          <w:rFonts w:cs="Arial"/>
          <w:b/>
          <w:sz w:val="24"/>
        </w:rPr>
        <w:t>isher (BD</w:t>
      </w:r>
      <w:bookmarkStart w:id="1" w:name="_GoBack"/>
      <w:bookmarkEnd w:id="1"/>
      <w:r>
        <w:rPr>
          <w:rFonts w:cs="Arial"/>
          <w:b/>
          <w:sz w:val="24"/>
        </w:rPr>
        <w:t>SG) war dies ausreichend:</w:t>
      </w:r>
      <w:commentRangeEnd w:id="0"/>
      <w:r>
        <w:rPr>
          <w:rStyle w:val="Kommentarzeichen"/>
        </w:rPr>
        <w:commentReference w:id="0"/>
      </w:r>
    </w:p>
    <w:p w:rsidR="00D27F38" w:rsidRDefault="00D27F38" w:rsidP="00D27F38">
      <w:pPr>
        <w:rPr>
          <w:rFonts w:cs="Arial"/>
          <w:sz w:val="24"/>
        </w:rPr>
      </w:pPr>
    </w:p>
    <w:p w:rsidR="00D27F38" w:rsidRPr="00AA1923" w:rsidRDefault="00D27F38" w:rsidP="00D27F38">
      <w:pPr>
        <w:pStyle w:val="Listenabsatz"/>
        <w:numPr>
          <w:ilvl w:val="0"/>
          <w:numId w:val="1"/>
        </w:numPr>
        <w:jc w:val="both"/>
        <w:rPr>
          <w:rFonts w:cs="Arial"/>
          <w:b/>
          <w:sz w:val="24"/>
        </w:rPr>
      </w:pPr>
      <w:r w:rsidRPr="00AA1923">
        <w:rPr>
          <w:rFonts w:cs="Arial"/>
          <w:b/>
          <w:sz w:val="24"/>
        </w:rPr>
        <w:t>Vertraulichkeit</w:t>
      </w:r>
    </w:p>
    <w:p w:rsidR="00D27F38" w:rsidRDefault="00D27F38" w:rsidP="00D27F38"/>
    <w:p w:rsidR="00D27F38" w:rsidRDefault="00D27F38" w:rsidP="00D27F38">
      <w:r w:rsidRPr="00C378A2">
        <w:t>Maßnahmen, die verhindern, dass Unbefugte personenbezogene Daten zur Kenntnis ne</w:t>
      </w:r>
      <w:r w:rsidRPr="00C378A2">
        <w:t>h</w:t>
      </w:r>
      <w:r w:rsidRPr="00C378A2">
        <w:t>men können.</w:t>
      </w:r>
    </w:p>
    <w:p w:rsidR="00D27F38" w:rsidRPr="00C378A2" w:rsidRDefault="00D27F38" w:rsidP="00D27F38"/>
    <w:p w:rsidR="00D27F38" w:rsidRPr="00C378A2" w:rsidRDefault="00D27F38" w:rsidP="00D27F38">
      <w:pPr>
        <w:pStyle w:val="Listenabsatz"/>
        <w:numPr>
          <w:ilvl w:val="1"/>
          <w:numId w:val="1"/>
        </w:numPr>
        <w:ind w:left="426" w:hanging="426"/>
        <w:jc w:val="both"/>
        <w:rPr>
          <w:rFonts w:cs="Arial"/>
          <w:b/>
          <w:sz w:val="24"/>
        </w:rPr>
      </w:pPr>
      <w:r w:rsidRPr="00C378A2">
        <w:rPr>
          <w:rFonts w:cs="Arial"/>
          <w:b/>
          <w:sz w:val="24"/>
        </w:rPr>
        <w:t>Zutrittskontrolle</w:t>
      </w:r>
    </w:p>
    <w:p w:rsidR="00D27F38" w:rsidRPr="00D9246A" w:rsidRDefault="00D27F38" w:rsidP="00D27F38"/>
    <w:p w:rsidR="00D27F38" w:rsidRDefault="00D27F38" w:rsidP="00D27F38">
      <w:r w:rsidRPr="00E165CA">
        <w:t>Maßnahmen, Unbefugten den Zutritt zu Datenverarbeitungsanlagen, mit denen die pers</w:t>
      </w:r>
      <w:r w:rsidRPr="00E165CA">
        <w:t>o</w:t>
      </w:r>
      <w:r w:rsidRPr="00E165CA">
        <w:t>nenbezogenen Daten verarbeitet und genutzt werden, zu ver</w:t>
      </w:r>
      <w:r>
        <w:t xml:space="preserve">wehren. </w:t>
      </w:r>
    </w:p>
    <w:p w:rsidR="00D27F38" w:rsidRDefault="00D27F38" w:rsidP="00D27F38"/>
    <w:p w:rsidR="00D27F38" w:rsidRPr="00E165CA" w:rsidRDefault="00D27F38" w:rsidP="00D27F38">
      <w:r w:rsidRPr="00E165CA">
        <w:t>Folgende Maßnahmen sind beim Auftragnehmer umgesetzt:</w:t>
      </w:r>
    </w:p>
    <w:p w:rsidR="00D27F38" w:rsidRPr="00D9246A" w:rsidRDefault="00D27F38" w:rsidP="00D27F38"/>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commentRangeStart w:id="2"/>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Absicherung von Gebäudeschächten</w:t>
            </w:r>
            <w:commentRangeEnd w:id="2"/>
            <w:r>
              <w:rPr>
                <w:rStyle w:val="Kommentarzeichen"/>
                <w:rFonts w:ascii="Arial" w:eastAsia="Times New Roman" w:hAnsi="Arial"/>
                <w:color w:val="auto"/>
              </w:rPr>
              <w:commentReference w:id="2"/>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noProof/>
                <w:sz w:val="22"/>
                <w:szCs w:val="22"/>
              </w:rPr>
            </w:pPr>
            <w:r w:rsidRPr="00E939A4">
              <w:rPr>
                <w:rFonts w:ascii="Arial" w:eastAsia="Zapf Dingbats" w:hAnsi="Arial" w:cs="Arial"/>
                <w:sz w:val="22"/>
                <w:szCs w:val="22"/>
              </w:rPr>
              <w:t>Protokollierung der Besucher</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Alarmanlage</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Schließsystem mit Codesperre</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Automatisches Zutrittskontrollsystem</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Schlüsselregelung (Schlüsselliste)</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Biometrische Zutrittskontrollen</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Sicherheitstüren und -schlösser</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Chipkarten-/Transponder-Schließsystem</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Sorgfältige Auswahl von Reinigung</w:t>
            </w:r>
            <w:r w:rsidRPr="00E939A4">
              <w:rPr>
                <w:rFonts w:ascii="Arial" w:eastAsia="Zapf Dingbats" w:hAnsi="Arial" w:cs="Arial"/>
                <w:sz w:val="22"/>
                <w:szCs w:val="22"/>
              </w:rPr>
              <w:t>s</w:t>
            </w:r>
            <w:r w:rsidRPr="00E939A4">
              <w:rPr>
                <w:rFonts w:ascii="Arial" w:eastAsia="Zapf Dingbats" w:hAnsi="Arial" w:cs="Arial"/>
                <w:sz w:val="22"/>
                <w:szCs w:val="22"/>
              </w:rPr>
              <w:t>personal</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Einbruchmeldeanlage</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Sorgfältige Auswahl von Wachpersonal</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Wachpersonal</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Tragepflicht von Berechtigungsauswe</w:t>
            </w:r>
            <w:r w:rsidRPr="00E939A4">
              <w:rPr>
                <w:rFonts w:ascii="Arial" w:eastAsia="Zapf Dingbats" w:hAnsi="Arial" w:cs="Arial"/>
                <w:sz w:val="22"/>
                <w:szCs w:val="22"/>
              </w:rPr>
              <w:t>i</w:t>
            </w:r>
            <w:r w:rsidRPr="00E939A4">
              <w:rPr>
                <w:rFonts w:ascii="Arial" w:eastAsia="Zapf Dingbats" w:hAnsi="Arial" w:cs="Arial"/>
                <w:sz w:val="22"/>
                <w:szCs w:val="22"/>
              </w:rPr>
              <w:t>sen</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Lichtschranken / Bewegungsmelder</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Unterteilung in verschiedene Siche</w:t>
            </w:r>
            <w:r w:rsidRPr="00E939A4">
              <w:rPr>
                <w:rFonts w:ascii="Arial" w:eastAsia="Zapf Dingbats" w:hAnsi="Arial" w:cs="Arial"/>
                <w:sz w:val="22"/>
                <w:szCs w:val="22"/>
              </w:rPr>
              <w:t>r</w:t>
            </w:r>
            <w:r w:rsidRPr="00E939A4">
              <w:rPr>
                <w:rFonts w:ascii="Arial" w:eastAsia="Zapf Dingbats" w:hAnsi="Arial" w:cs="Arial"/>
                <w:sz w:val="22"/>
                <w:szCs w:val="22"/>
              </w:rPr>
              <w:t>heitszonen</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Manuelles Schließsystem</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Videoüberwachung der Zugänge</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Personenkontrolle beim Pförtner / Em</w:t>
            </w:r>
            <w:r w:rsidRPr="00E939A4">
              <w:rPr>
                <w:rFonts w:ascii="Arial" w:eastAsia="Zapf Dingbats" w:hAnsi="Arial" w:cs="Arial"/>
                <w:sz w:val="22"/>
                <w:szCs w:val="22"/>
              </w:rPr>
              <w:t>p</w:t>
            </w:r>
            <w:r w:rsidRPr="00E939A4">
              <w:rPr>
                <w:rFonts w:ascii="Arial" w:eastAsia="Zapf Dingbats" w:hAnsi="Arial" w:cs="Arial"/>
                <w:sz w:val="22"/>
                <w:szCs w:val="22"/>
              </w:rPr>
              <w:t>fang</w:t>
            </w:r>
          </w:p>
        </w:tc>
        <w:tc>
          <w:tcPr>
            <w:tcW w:w="249" w:type="pct"/>
            <w:shd w:val="clear" w:color="auto" w:fill="auto"/>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Zutrittsberechtigungen funktions- und rollenbasiert</w:t>
            </w:r>
          </w:p>
        </w:tc>
      </w:tr>
      <w:tr w:rsidR="00D27F38" w:rsidRPr="007832FA" w:rsidTr="00660E62">
        <w:trPr>
          <w:cantSplit/>
          <w:trHeight w:val="220"/>
        </w:trPr>
        <w:tc>
          <w:tcPr>
            <w:tcW w:w="190" w:type="pct"/>
            <w:shd w:val="clear" w:color="auto" w:fill="auto"/>
          </w:tcPr>
          <w:p w:rsidR="00D27F38" w:rsidRPr="007832FA"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832FA">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commentRangeStart w:id="3"/>
            <w:r w:rsidRPr="00E939A4">
              <w:rPr>
                <w:rFonts w:ascii="Arial" w:eastAsia="MS Gothic" w:hAnsi="Arial" w:cs="Arial"/>
                <w:noProof/>
                <w:sz w:val="22"/>
                <w:szCs w:val="22"/>
              </w:rPr>
              <w:t xml:space="preserve">sonstiges:  </w:t>
            </w:r>
            <w:r w:rsidRPr="00E939A4">
              <w:rPr>
                <w:rFonts w:ascii="Arial" w:eastAsia="MS Gothic" w:hAnsi="Arial" w:cs="Arial"/>
                <w:sz w:val="22"/>
                <w:szCs w:val="22"/>
              </w:rPr>
              <w:t>Die markierten Maßnahmen kommen in Abhängigkeit zum Schutzbedarf im Rahmen des mehrstufigen Sicherheitszonenkonzeptes des Auftragnehmers zum Ei</w:t>
            </w:r>
            <w:r w:rsidRPr="00E939A4">
              <w:rPr>
                <w:rFonts w:ascii="Arial" w:eastAsia="MS Gothic" w:hAnsi="Arial" w:cs="Arial"/>
                <w:sz w:val="22"/>
                <w:szCs w:val="22"/>
              </w:rPr>
              <w:t>n</w:t>
            </w:r>
            <w:r w:rsidRPr="00E939A4">
              <w:rPr>
                <w:rFonts w:ascii="Arial" w:eastAsia="MS Gothic" w:hAnsi="Arial" w:cs="Arial"/>
                <w:sz w:val="22"/>
                <w:szCs w:val="22"/>
              </w:rPr>
              <w:t>satz. Die Überwachung des Geländes/Gebäudes erfolgt außerhalb der Geschäftszeiten sowie an Wochenenden und Feiertagen durch einen externen Wachdienst</w:t>
            </w:r>
            <w:commentRangeEnd w:id="3"/>
            <w:r>
              <w:rPr>
                <w:rStyle w:val="Kommentarzeichen"/>
                <w:rFonts w:ascii="Arial" w:eastAsia="Times New Roman" w:hAnsi="Arial"/>
                <w:color w:val="auto"/>
              </w:rPr>
              <w:commentReference w:id="3"/>
            </w:r>
            <w:r w:rsidRPr="00E939A4">
              <w:rPr>
                <w:rFonts w:ascii="Arial" w:eastAsia="MS Gothic" w:hAnsi="Arial" w:cs="Arial"/>
                <w:sz w:val="22"/>
                <w:szCs w:val="22"/>
              </w:rPr>
              <w:t xml:space="preserve">. </w:t>
            </w:r>
          </w:p>
        </w:tc>
      </w:tr>
    </w:tbl>
    <w:p w:rsidR="00D27F38" w:rsidRDefault="00D27F38" w:rsidP="00D27F38">
      <w:pPr>
        <w:tabs>
          <w:tab w:val="left" w:pos="567"/>
        </w:tabs>
        <w:jc w:val="both"/>
        <w:rPr>
          <w:rFonts w:cs="Arial"/>
          <w:sz w:val="24"/>
        </w:rPr>
      </w:pPr>
    </w:p>
    <w:p w:rsidR="00D27F38" w:rsidRPr="00957EA3" w:rsidRDefault="00D27F38" w:rsidP="00D27F38">
      <w:pPr>
        <w:tabs>
          <w:tab w:val="left" w:pos="567"/>
        </w:tabs>
        <w:jc w:val="both"/>
        <w:rPr>
          <w:rFonts w:cs="Arial"/>
          <w:sz w:val="24"/>
        </w:rPr>
      </w:pPr>
    </w:p>
    <w:p w:rsidR="00D27F38" w:rsidRPr="00AA1923" w:rsidRDefault="00D27F38" w:rsidP="00D27F38">
      <w:pPr>
        <w:pStyle w:val="Listenabsatz"/>
        <w:numPr>
          <w:ilvl w:val="1"/>
          <w:numId w:val="1"/>
        </w:numPr>
        <w:ind w:left="426" w:hanging="426"/>
        <w:jc w:val="both"/>
        <w:rPr>
          <w:rFonts w:cs="Arial"/>
          <w:b/>
          <w:sz w:val="24"/>
        </w:rPr>
      </w:pPr>
      <w:r w:rsidRPr="00C378A2">
        <w:rPr>
          <w:rFonts w:cs="Arial"/>
          <w:b/>
          <w:sz w:val="24"/>
        </w:rPr>
        <w:t>Zugangskontrolle</w:t>
      </w:r>
    </w:p>
    <w:p w:rsidR="00D27F38" w:rsidRPr="00D9246A" w:rsidRDefault="00D27F38" w:rsidP="00D27F38"/>
    <w:p w:rsidR="00D27F38" w:rsidRDefault="00D27F38" w:rsidP="00D27F38">
      <w:r w:rsidRPr="00E165CA">
        <w:t>Maßnahmen, um zu verhindern, dass Datenverarbeitungssysteme von Unbe</w:t>
      </w:r>
      <w:r>
        <w:t xml:space="preserve">fugten genutzt werden können. </w:t>
      </w:r>
    </w:p>
    <w:p w:rsidR="00D27F38" w:rsidRDefault="00D27F38" w:rsidP="00D27F38"/>
    <w:p w:rsidR="00D27F38" w:rsidRDefault="00D27F38" w:rsidP="00D27F38">
      <w:r w:rsidRPr="00E165CA">
        <w:t xml:space="preserve">Folgende Maßnahmen sind beim Auftragnehmer </w:t>
      </w:r>
      <w:r w:rsidRPr="00E165CA">
        <w:rPr>
          <w:u w:val="single"/>
        </w:rPr>
        <w:t>zusätzlich</w:t>
      </w:r>
      <w:r w:rsidRPr="00E165CA">
        <w:t xml:space="preserve"> zu den vorgenannten Kontrollen umgesetzt:</w:t>
      </w:r>
    </w:p>
    <w:p w:rsidR="00D27F38" w:rsidRDefault="00D27F38" w:rsidP="00D27F38"/>
    <w:tbl>
      <w:tblPr>
        <w:tblW w:w="4942" w:type="pct"/>
        <w:tblInd w:w="108" w:type="dxa"/>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36"/>
        <w:gridCol w:w="4157"/>
        <w:gridCol w:w="437"/>
        <w:gridCol w:w="4142"/>
      </w:tblGrid>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lastRenderedPageBreak/>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2-Faktor-Authentifizierung</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Passwortregelung (Mindestlänge, Komplexität, Gültigkeitsdauer, Spe</w:t>
            </w:r>
            <w:r w:rsidRPr="00E939A4">
              <w:rPr>
                <w:rFonts w:ascii="Arial" w:eastAsia="Zapf Dingbats" w:hAnsi="Arial" w:cs="Arial"/>
                <w:sz w:val="22"/>
                <w:szCs w:val="22"/>
              </w:rPr>
              <w:t>r</w:t>
            </w:r>
            <w:r w:rsidRPr="00E939A4">
              <w:rPr>
                <w:rFonts w:ascii="Arial" w:eastAsia="Zapf Dingbats" w:hAnsi="Arial" w:cs="Arial"/>
                <w:sz w:val="22"/>
                <w:szCs w:val="22"/>
              </w:rPr>
              <w:t>rung/Löschung u.a.)</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Authentifikation mit Benutzername / Passwort</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Schlüsselregelung (Schlüsselausgabe etc.)</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rsidR="00D27F38" w:rsidRPr="007A650D"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commentRangeStart w:id="4"/>
            <w:r w:rsidRPr="007A650D">
              <w:rPr>
                <w:rFonts w:ascii="Arial" w:eastAsia="Zapf Dingbats" w:hAnsi="Arial" w:cs="Arial"/>
                <w:strike/>
                <w:sz w:val="22"/>
                <w:szCs w:val="22"/>
              </w:rPr>
              <w:t>Authentifikation mit biometrischen Ve</w:t>
            </w:r>
            <w:r w:rsidRPr="007A650D">
              <w:rPr>
                <w:rFonts w:ascii="Arial" w:eastAsia="Zapf Dingbats" w:hAnsi="Arial" w:cs="Arial"/>
                <w:strike/>
                <w:sz w:val="22"/>
                <w:szCs w:val="22"/>
              </w:rPr>
              <w:t>r</w:t>
            </w:r>
            <w:r w:rsidRPr="007A650D">
              <w:rPr>
                <w:rFonts w:ascii="Arial" w:eastAsia="Zapf Dingbats" w:hAnsi="Arial" w:cs="Arial"/>
                <w:strike/>
                <w:sz w:val="22"/>
                <w:szCs w:val="22"/>
              </w:rPr>
              <w:t>fahren</w:t>
            </w:r>
            <w:commentRangeEnd w:id="4"/>
            <w:r>
              <w:rPr>
                <w:rStyle w:val="Kommentarzeichen"/>
                <w:rFonts w:ascii="Arial" w:eastAsia="Times New Roman" w:hAnsi="Arial"/>
                <w:color w:val="auto"/>
              </w:rPr>
              <w:commentReference w:id="4"/>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Sichere Aufbewahrung von Datentr</w:t>
            </w:r>
            <w:r w:rsidRPr="00E939A4">
              <w:rPr>
                <w:rFonts w:ascii="Arial" w:eastAsia="Zapf Dingbats" w:hAnsi="Arial" w:cs="Arial"/>
                <w:sz w:val="22"/>
                <w:szCs w:val="22"/>
              </w:rPr>
              <w:t>ä</w:t>
            </w:r>
            <w:r w:rsidRPr="00E939A4">
              <w:rPr>
                <w:rFonts w:ascii="Arial" w:eastAsia="Zapf Dingbats" w:hAnsi="Arial" w:cs="Arial"/>
                <w:sz w:val="22"/>
                <w:szCs w:val="22"/>
              </w:rPr>
              <w:t>gern (Sicherungsbänder, Festplatten etc.)</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eines Aktenvernichters</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7A650D">
              <w:rPr>
                <w:rFonts w:ascii="Arial" w:eastAsia="Zapf Dingbats" w:hAnsi="Arial" w:cs="Arial"/>
                <w:strike/>
                <w:sz w:val="22"/>
                <w:szCs w:val="22"/>
              </w:rPr>
              <w:t>Sorgfältige Auswahl von Transportpe</w:t>
            </w:r>
            <w:r w:rsidRPr="007A650D">
              <w:rPr>
                <w:rFonts w:ascii="Arial" w:eastAsia="Zapf Dingbats" w:hAnsi="Arial" w:cs="Arial"/>
                <w:strike/>
                <w:sz w:val="22"/>
                <w:szCs w:val="22"/>
              </w:rPr>
              <w:t>r</w:t>
            </w:r>
            <w:r w:rsidRPr="007A650D">
              <w:rPr>
                <w:rFonts w:ascii="Arial" w:eastAsia="Zapf Dingbats" w:hAnsi="Arial" w:cs="Arial"/>
                <w:strike/>
                <w:sz w:val="22"/>
                <w:szCs w:val="22"/>
              </w:rPr>
              <w:t>sonal und -</w:t>
            </w:r>
            <w:proofErr w:type="spellStart"/>
            <w:r w:rsidRPr="007A650D">
              <w:rPr>
                <w:rFonts w:ascii="Arial" w:eastAsia="Zapf Dingbats" w:hAnsi="Arial" w:cs="Arial"/>
                <w:strike/>
                <w:sz w:val="22"/>
                <w:szCs w:val="22"/>
              </w:rPr>
              <w:t>fahrzeugen</w:t>
            </w:r>
            <w:proofErr w:type="spellEnd"/>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Anti-Viren-Software</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Vernichtung von Datenträgern durch dafür zertifizierte Entsorgungsfachb</w:t>
            </w:r>
            <w:r w:rsidRPr="00E939A4">
              <w:rPr>
                <w:rFonts w:ascii="Arial" w:eastAsia="Zapf Dingbats" w:hAnsi="Arial" w:cs="Arial"/>
                <w:sz w:val="22"/>
                <w:szCs w:val="22"/>
              </w:rPr>
              <w:t>e</w:t>
            </w:r>
            <w:r w:rsidRPr="00E939A4">
              <w:rPr>
                <w:rFonts w:ascii="Arial" w:eastAsia="Zapf Dingbats" w:hAnsi="Arial" w:cs="Arial"/>
                <w:sz w:val="22"/>
                <w:szCs w:val="22"/>
              </w:rPr>
              <w:t>triebe</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einer Hardware-Firewall</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Vernichtung von Papierdokumenten durch dafür zertifizierte Entsorgung</w:t>
            </w:r>
            <w:r w:rsidRPr="00E939A4">
              <w:rPr>
                <w:rFonts w:ascii="Arial" w:eastAsia="Zapf Dingbats" w:hAnsi="Arial" w:cs="Arial"/>
                <w:sz w:val="22"/>
                <w:szCs w:val="22"/>
              </w:rPr>
              <w:t>s</w:t>
            </w:r>
            <w:r w:rsidRPr="00E939A4">
              <w:rPr>
                <w:rFonts w:ascii="Arial" w:eastAsia="Zapf Dingbats" w:hAnsi="Arial" w:cs="Arial"/>
                <w:sz w:val="22"/>
                <w:szCs w:val="22"/>
              </w:rPr>
              <w:t>fachbetriebe</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rsidR="00D27F38" w:rsidRPr="007A650D"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Einsatz eines Identity Management Sy</w:t>
            </w:r>
            <w:r w:rsidRPr="007A650D">
              <w:rPr>
                <w:rFonts w:ascii="Arial" w:eastAsia="Zapf Dingbats" w:hAnsi="Arial" w:cs="Arial"/>
                <w:strike/>
                <w:sz w:val="22"/>
                <w:szCs w:val="22"/>
              </w:rPr>
              <w:t>s</w:t>
            </w:r>
            <w:r w:rsidRPr="007A650D">
              <w:rPr>
                <w:rFonts w:ascii="Arial" w:eastAsia="Zapf Dingbats" w:hAnsi="Arial" w:cs="Arial"/>
                <w:strike/>
                <w:sz w:val="22"/>
                <w:szCs w:val="22"/>
              </w:rPr>
              <w:t>tems</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auf Verzeichnis- und Dateiebene</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einer Software-Firewall</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von Datenträgern in Laptops / Notebooks</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verschließbarer Entsorgung</w:t>
            </w:r>
            <w:r w:rsidRPr="00E939A4">
              <w:rPr>
                <w:rFonts w:ascii="Arial" w:eastAsia="Zapf Dingbats" w:hAnsi="Arial" w:cs="Arial"/>
                <w:sz w:val="22"/>
                <w:szCs w:val="22"/>
              </w:rPr>
              <w:t>s</w:t>
            </w:r>
            <w:r w:rsidRPr="00E939A4">
              <w:rPr>
                <w:rFonts w:ascii="Arial" w:eastAsia="Zapf Dingbats" w:hAnsi="Arial" w:cs="Arial"/>
                <w:sz w:val="22"/>
                <w:szCs w:val="22"/>
              </w:rPr>
              <w:t>behälter für Papier, Akten und Datentr</w:t>
            </w:r>
            <w:r w:rsidRPr="00E939A4">
              <w:rPr>
                <w:rFonts w:ascii="Arial" w:eastAsia="Zapf Dingbats" w:hAnsi="Arial" w:cs="Arial"/>
                <w:sz w:val="22"/>
                <w:szCs w:val="22"/>
              </w:rPr>
              <w:t>ä</w:t>
            </w:r>
            <w:r w:rsidRPr="00E939A4">
              <w:rPr>
                <w:rFonts w:ascii="Arial" w:eastAsia="Zapf Dingbats" w:hAnsi="Arial" w:cs="Arial"/>
                <w:sz w:val="22"/>
                <w:szCs w:val="22"/>
              </w:rPr>
              <w:t>ger</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7A650D"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Verschlüsselung von mobilen Datentr</w:t>
            </w:r>
            <w:r w:rsidRPr="007A650D">
              <w:rPr>
                <w:rFonts w:ascii="Arial" w:eastAsia="Zapf Dingbats" w:hAnsi="Arial" w:cs="Arial"/>
                <w:strike/>
                <w:sz w:val="22"/>
                <w:szCs w:val="22"/>
              </w:rPr>
              <w:t>ä</w:t>
            </w:r>
            <w:r w:rsidRPr="007A650D">
              <w:rPr>
                <w:rFonts w:ascii="Arial" w:eastAsia="Zapf Dingbats" w:hAnsi="Arial" w:cs="Arial"/>
                <w:strike/>
                <w:sz w:val="22"/>
                <w:szCs w:val="22"/>
              </w:rPr>
              <w:t>gern (USB-Sticks, CD/DVD etc.)</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Einsatz von VPN-Technologie</w:t>
            </w:r>
            <w:r w:rsidRPr="00E939A4">
              <w:rPr>
                <w:rFonts w:ascii="Arial" w:eastAsia="Zapf Dingbats" w:hAnsi="Arial" w:cs="Arial"/>
                <w:sz w:val="22"/>
                <w:szCs w:val="22"/>
                <w:vertAlign w:val="superscript"/>
              </w:rPr>
              <w:t>*</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Verschlüsselung von Smartphone Inha</w:t>
            </w:r>
            <w:r w:rsidRPr="00E939A4">
              <w:rPr>
                <w:rFonts w:ascii="Arial" w:eastAsia="Zapf Dingbats" w:hAnsi="Arial" w:cs="Arial"/>
                <w:sz w:val="22"/>
                <w:szCs w:val="22"/>
              </w:rPr>
              <w:t>l</w:t>
            </w:r>
            <w:r w:rsidRPr="00E939A4">
              <w:rPr>
                <w:rFonts w:ascii="Arial" w:eastAsia="Zapf Dingbats" w:hAnsi="Arial" w:cs="Arial"/>
                <w:sz w:val="22"/>
                <w:szCs w:val="22"/>
              </w:rPr>
              <w:t>ten</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Erstellen von Benutzerprofilen</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Arial" w:hint="eastAsia"/>
                <w:sz w:val="22"/>
                <w:szCs w:val="22"/>
              </w:rPr>
              <w:t>☐</w:t>
            </w:r>
          </w:p>
        </w:tc>
        <w:tc>
          <w:tcPr>
            <w:tcW w:w="2259" w:type="pct"/>
            <w:shd w:val="clear" w:color="auto" w:fill="FFFFFF"/>
            <w:tcMar>
              <w:top w:w="100" w:type="dxa"/>
              <w:left w:w="100" w:type="dxa"/>
              <w:bottom w:w="100" w:type="dxa"/>
              <w:right w:w="100" w:type="dxa"/>
            </w:tcMar>
          </w:tcPr>
          <w:p w:rsidR="00D27F38" w:rsidRPr="007A650D"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Verwendung  sicherer Transportbehälter /-verpackungen beim physischen Transport</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226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Netzwerk- und Netzwerkzonenkonzept</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Zuordnung von Benutzerprofilen zu IT-Systemen</w:t>
            </w:r>
          </w:p>
        </w:tc>
      </w:tr>
      <w:tr w:rsidR="00D27F38" w:rsidRPr="006B6B29" w:rsidTr="00660E62">
        <w:trPr>
          <w:cantSplit/>
          <w:trHeight w:val="220"/>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MS Gothic" w:eastAsia="MS Gothic" w:hAnsi="MS Gothic" w:cs="Arial" w:hint="eastAsia"/>
                <w:sz w:val="22"/>
                <w:szCs w:val="22"/>
              </w:rPr>
              <w:t>☐</w:t>
            </w:r>
          </w:p>
        </w:tc>
        <w:tc>
          <w:tcPr>
            <w:tcW w:w="2266" w:type="pct"/>
            <w:shd w:val="clear" w:color="auto" w:fill="FFFFFF"/>
            <w:tcMar>
              <w:top w:w="100" w:type="dxa"/>
              <w:left w:w="100" w:type="dxa"/>
              <w:bottom w:w="100" w:type="dxa"/>
              <w:right w:w="100" w:type="dxa"/>
            </w:tcMar>
          </w:tcPr>
          <w:p w:rsidR="00D27F38" w:rsidRPr="007A650D"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7A650D">
              <w:rPr>
                <w:rFonts w:ascii="Arial" w:eastAsia="Zapf Dingbats" w:hAnsi="Arial" w:cs="Arial"/>
                <w:strike/>
                <w:sz w:val="22"/>
                <w:szCs w:val="22"/>
              </w:rPr>
              <w:t>Notfallmanagement für Auftraggeber (u.a. Mehrschichtbetrieb, Rufberei</w:t>
            </w:r>
            <w:r w:rsidRPr="007A650D">
              <w:rPr>
                <w:rFonts w:ascii="Arial" w:eastAsia="Zapf Dingbats" w:hAnsi="Arial" w:cs="Arial"/>
                <w:strike/>
                <w:sz w:val="22"/>
                <w:szCs w:val="22"/>
              </w:rPr>
              <w:t>t</w:t>
            </w:r>
            <w:r w:rsidRPr="007A650D">
              <w:rPr>
                <w:rFonts w:ascii="Arial" w:eastAsia="Zapf Dingbats" w:hAnsi="Arial" w:cs="Arial"/>
                <w:strike/>
                <w:sz w:val="22"/>
                <w:szCs w:val="22"/>
              </w:rPr>
              <w:t>schaft, Stellvertreterregelung)</w:t>
            </w:r>
          </w:p>
        </w:tc>
        <w:tc>
          <w:tcPr>
            <w:tcW w:w="238"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9"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Zuweisung von Benutzerrechten erfolgt funktions- und rollenbasiert</w:t>
            </w:r>
          </w:p>
        </w:tc>
      </w:tr>
      <w:tr w:rsidR="00D27F38" w:rsidRPr="006B6B29" w:rsidTr="00660E62">
        <w:trPr>
          <w:cantSplit/>
          <w:trHeight w:val="287"/>
        </w:trPr>
        <w:tc>
          <w:tcPr>
            <w:tcW w:w="238" w:type="pct"/>
            <w:shd w:val="clear" w:color="auto" w:fill="FFFFFF"/>
          </w:tcPr>
          <w:p w:rsidR="00D27F38" w:rsidRPr="006B6B29"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MS Gothic" w:eastAsia="MS Gothic" w:hAnsi="MS Gothic" w:cs="MS Gothic" w:hint="eastAsia"/>
                <w:sz w:val="22"/>
                <w:szCs w:val="22"/>
              </w:rPr>
              <w:t>☒</w:t>
            </w:r>
          </w:p>
        </w:tc>
        <w:tc>
          <w:tcPr>
            <w:tcW w:w="4762" w:type="pct"/>
            <w:gridSpan w:val="3"/>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sonstiges:  Die markierten Maßnahmen kommen in Abhängigkeit zum Schutzbedarf im Rahmen des mehrstufigen Sicherheitszonenkonzeptes des Auftragnehmers zum Ei</w:t>
            </w:r>
            <w:r w:rsidRPr="00E939A4">
              <w:rPr>
                <w:rFonts w:ascii="Arial" w:eastAsia="Zapf Dingbats" w:hAnsi="Arial" w:cs="Arial"/>
                <w:sz w:val="22"/>
                <w:szCs w:val="22"/>
              </w:rPr>
              <w:t>n</w:t>
            </w:r>
            <w:r w:rsidRPr="00E939A4">
              <w:rPr>
                <w:rFonts w:ascii="Arial" w:eastAsia="Zapf Dingbats" w:hAnsi="Arial" w:cs="Arial"/>
                <w:sz w:val="22"/>
                <w:szCs w:val="22"/>
              </w:rPr>
              <w:t>satz.</w:t>
            </w:r>
          </w:p>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bl>
    <w:p w:rsidR="00D27F38" w:rsidRDefault="00D27F38" w:rsidP="00D27F38">
      <w:pPr>
        <w:jc w:val="both"/>
        <w:rPr>
          <w:rFonts w:cs="Arial"/>
          <w:sz w:val="24"/>
        </w:rPr>
      </w:pPr>
    </w:p>
    <w:p w:rsidR="00D27F38" w:rsidRPr="00957EA3" w:rsidRDefault="00D27F38" w:rsidP="00D27F38">
      <w:pPr>
        <w:jc w:val="both"/>
        <w:rPr>
          <w:rFonts w:cs="Arial"/>
          <w:sz w:val="24"/>
        </w:rPr>
      </w:pPr>
    </w:p>
    <w:p w:rsidR="00D27F38" w:rsidRPr="00C378A2" w:rsidRDefault="00D27F38" w:rsidP="00D27F38">
      <w:pPr>
        <w:pStyle w:val="Listenabsatz"/>
        <w:numPr>
          <w:ilvl w:val="1"/>
          <w:numId w:val="1"/>
        </w:numPr>
        <w:ind w:left="426" w:hanging="426"/>
        <w:jc w:val="both"/>
        <w:rPr>
          <w:rFonts w:cs="Arial"/>
          <w:b/>
          <w:sz w:val="24"/>
        </w:rPr>
      </w:pPr>
      <w:r w:rsidRPr="00C378A2">
        <w:rPr>
          <w:rFonts w:cs="Arial"/>
          <w:b/>
          <w:sz w:val="24"/>
        </w:rPr>
        <w:t>Zugriffskontrolle</w:t>
      </w:r>
    </w:p>
    <w:p w:rsidR="00D27F38" w:rsidRPr="00D9246A" w:rsidRDefault="00D27F38" w:rsidP="00D27F38"/>
    <w:p w:rsidR="00D27F38" w:rsidRDefault="00D27F38" w:rsidP="00D27F38">
      <w:r w:rsidRPr="007832FA">
        <w:t>Maßnahmen, die gewährleisten, dass die zur Benutzung eines Datenverarbeitungssystems Berechtigten ausschließlich auf die ihrer Zugriffsberechtigung unterliegenden Daten zugre</w:t>
      </w:r>
      <w:r w:rsidRPr="007832FA">
        <w:t>i</w:t>
      </w:r>
      <w:r w:rsidRPr="007832FA">
        <w:t xml:space="preserve">fen können, und dass personenbezogene Daten bei der Verarbeitung, Nutzung und </w:t>
      </w:r>
      <w:r w:rsidRPr="007832FA">
        <w:lastRenderedPageBreak/>
        <w:t>nach der Speicherung nicht unbefugt gelesen, kopiert, veränd</w:t>
      </w:r>
      <w:r>
        <w:t xml:space="preserve">ert oder entfernt werden können. </w:t>
      </w:r>
    </w:p>
    <w:p w:rsidR="00D27F38" w:rsidRDefault="00D27F38" w:rsidP="00D27F38"/>
    <w:p w:rsidR="00D27F38" w:rsidRDefault="00D27F38" w:rsidP="00D27F38">
      <w:r w:rsidRPr="007832FA">
        <w:t xml:space="preserve">Folgende Maßnahmen sind beim Auftragnehmer </w:t>
      </w:r>
      <w:r w:rsidRPr="007832FA">
        <w:rPr>
          <w:u w:val="single"/>
        </w:rPr>
        <w:t>zusätzlich</w:t>
      </w:r>
      <w:r w:rsidRPr="007832FA">
        <w:t xml:space="preserve"> zu den vorgenannten Kontrollen umgesetzt:</w:t>
      </w:r>
    </w:p>
    <w:p w:rsidR="00D27F38" w:rsidRDefault="00D27F38" w:rsidP="00D27F38"/>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Anzahl der Administratoren auf ein M</w:t>
            </w:r>
            <w:r w:rsidRPr="00BC4C24">
              <w:rPr>
                <w:rFonts w:ascii="Arial" w:eastAsia="Zapf Dingbats" w:hAnsi="Arial" w:cs="Arial"/>
                <w:sz w:val="22"/>
                <w:szCs w:val="22"/>
              </w:rPr>
              <w:t>i</w:t>
            </w:r>
            <w:r w:rsidRPr="00BC4C24">
              <w:rPr>
                <w:rFonts w:ascii="Arial" w:eastAsia="Zapf Dingbats" w:hAnsi="Arial" w:cs="Arial"/>
                <w:sz w:val="22"/>
                <w:szCs w:val="22"/>
              </w:rPr>
              <w:t>nimum begrenzt</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Protokollierung von Zugriffen auf Anwendungen, insbesondere bei der Ei</w:t>
            </w:r>
            <w:r w:rsidRPr="00BC4C24">
              <w:rPr>
                <w:rFonts w:ascii="Arial" w:eastAsia="Zapf Dingbats" w:hAnsi="Arial" w:cs="Arial"/>
                <w:sz w:val="22"/>
                <w:szCs w:val="22"/>
              </w:rPr>
              <w:t>n</w:t>
            </w:r>
            <w:r w:rsidRPr="00BC4C24">
              <w:rPr>
                <w:rFonts w:ascii="Arial" w:eastAsia="Zapf Dingbats" w:hAnsi="Arial" w:cs="Arial"/>
                <w:sz w:val="22"/>
                <w:szCs w:val="22"/>
              </w:rPr>
              <w:t>gabe, Änderung und Löschung von D</w:t>
            </w:r>
            <w:r w:rsidRPr="00BC4C24">
              <w:rPr>
                <w:rFonts w:ascii="Arial" w:eastAsia="Zapf Dingbats" w:hAnsi="Arial" w:cs="Arial"/>
                <w:sz w:val="22"/>
                <w:szCs w:val="22"/>
              </w:rPr>
              <w:t>a</w:t>
            </w:r>
            <w:r w:rsidRPr="00BC4C24">
              <w:rPr>
                <w:rFonts w:ascii="Arial" w:eastAsia="Zapf Dingbats" w:hAnsi="Arial" w:cs="Arial"/>
                <w:sz w:val="22"/>
                <w:szCs w:val="22"/>
              </w:rPr>
              <w:t>ten</w:t>
            </w: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Funktions- und rollenbasiertes Berecht</w:t>
            </w:r>
            <w:r w:rsidRPr="00BC4C24">
              <w:rPr>
                <w:rFonts w:ascii="Arial" w:eastAsia="Zapf Dingbats" w:hAnsi="Arial" w:cs="Arial"/>
                <w:sz w:val="22"/>
                <w:szCs w:val="22"/>
              </w:rPr>
              <w:t>i</w:t>
            </w:r>
            <w:r w:rsidRPr="00BC4C24">
              <w:rPr>
                <w:rFonts w:ascii="Arial" w:eastAsia="Zapf Dingbats" w:hAnsi="Arial" w:cs="Arial"/>
                <w:sz w:val="22"/>
                <w:szCs w:val="22"/>
              </w:rPr>
              <w:t>gungskonzept</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Verwaltung der Zugriffsberechtigungen unter Beachtung der Funktionstrennung und des 4-Augenprinzips</w:t>
            </w: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6B6B29">
              <w:rPr>
                <w:rFonts w:ascii="Arial" w:eastAsia="Zapf Dingbats" w:hAnsi="Arial" w:cs="Arial"/>
                <w:sz w:val="22"/>
                <w:szCs w:val="22"/>
              </w:rPr>
              <w:t>Protokollierung der Vernichtung von Papier, Akten und Datenträgern</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 xml:space="preserve">sonstiges: </w:t>
            </w:r>
          </w:p>
        </w:tc>
      </w:tr>
    </w:tbl>
    <w:p w:rsidR="00D27F38" w:rsidRDefault="00D27F38" w:rsidP="00D27F38">
      <w:pPr>
        <w:tabs>
          <w:tab w:val="left" w:pos="284"/>
        </w:tabs>
        <w:jc w:val="both"/>
        <w:rPr>
          <w:rFonts w:cs="Arial"/>
          <w:sz w:val="24"/>
        </w:rPr>
      </w:pPr>
    </w:p>
    <w:p w:rsidR="00D27F38" w:rsidRPr="00957EA3" w:rsidRDefault="00D27F38" w:rsidP="00D27F38">
      <w:pPr>
        <w:tabs>
          <w:tab w:val="left" w:pos="284"/>
        </w:tabs>
        <w:jc w:val="both"/>
        <w:rPr>
          <w:rFonts w:cs="Arial"/>
          <w:sz w:val="24"/>
        </w:rPr>
      </w:pPr>
    </w:p>
    <w:p w:rsidR="00D27F38" w:rsidRPr="00C378A2" w:rsidRDefault="00D27F38" w:rsidP="00D27F38">
      <w:pPr>
        <w:pStyle w:val="Listenabsatz"/>
        <w:numPr>
          <w:ilvl w:val="1"/>
          <w:numId w:val="1"/>
        </w:numPr>
        <w:ind w:left="426" w:hanging="426"/>
        <w:jc w:val="both"/>
        <w:rPr>
          <w:rFonts w:cs="Arial"/>
          <w:b/>
          <w:sz w:val="24"/>
        </w:rPr>
      </w:pPr>
      <w:proofErr w:type="spellStart"/>
      <w:r w:rsidRPr="00C378A2">
        <w:rPr>
          <w:rFonts w:cs="Arial"/>
          <w:b/>
          <w:sz w:val="24"/>
        </w:rPr>
        <w:t>Weitergabekontrolle</w:t>
      </w:r>
      <w:proofErr w:type="spellEnd"/>
    </w:p>
    <w:p w:rsidR="00D27F38" w:rsidRPr="00D9246A" w:rsidRDefault="00D27F38" w:rsidP="00D27F38"/>
    <w:p w:rsidR="00D27F38" w:rsidRDefault="00D27F38" w:rsidP="00D27F38">
      <w:r w:rsidRPr="007832FA">
        <w:t xml:space="preserve">Maßnahmen, die gewährleisten, dass personenbezogene Daten bei der elektronischen Übertragung oder während ihres Transportes oder ihrer Speicherung auf Datenträger nicht unbefugt gelesen, kopiert, verändert oder entfernt werden können, und dass überprüft und festgestellt werden kann, an welche Stellen eine Übermittlung personenbezogener Daten durch Einrichtungen zur </w:t>
      </w:r>
      <w:r>
        <w:t xml:space="preserve">Datenübertragung vorgesehen ist. </w:t>
      </w:r>
    </w:p>
    <w:p w:rsidR="00D27F38" w:rsidRDefault="00D27F38" w:rsidP="00D27F38"/>
    <w:p w:rsidR="00D27F38" w:rsidRDefault="00D27F38" w:rsidP="00D27F38">
      <w:r w:rsidRPr="00D9246A">
        <w:t xml:space="preserve">Folgende Maßnahmen sind beim Auftragnehmer </w:t>
      </w:r>
      <w:r w:rsidRPr="00D9246A">
        <w:rPr>
          <w:u w:val="single"/>
        </w:rPr>
        <w:t>zusätzlich</w:t>
      </w:r>
      <w:r w:rsidRPr="00D9246A">
        <w:t xml:space="preserve"> zu den vorgenannten Kontrollen umgesetzt:</w:t>
      </w:r>
    </w:p>
    <w:p w:rsidR="00D27F38" w:rsidRPr="007832FA" w:rsidRDefault="00D27F38" w:rsidP="00D27F38"/>
    <w:tbl>
      <w:tblPr>
        <w:tblW w:w="5000" w:type="pct"/>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56"/>
        <w:gridCol w:w="4187"/>
        <w:gridCol w:w="457"/>
        <w:gridCol w:w="4180"/>
      </w:tblGrid>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Dokumentation der Empfänger von D</w:t>
            </w:r>
            <w:r w:rsidRPr="00E939A4">
              <w:rPr>
                <w:rFonts w:ascii="Arial" w:eastAsia="Zapf Dingbats" w:hAnsi="Arial" w:cs="Arial"/>
                <w:sz w:val="22"/>
                <w:szCs w:val="22"/>
              </w:rPr>
              <w:t>a</w:t>
            </w:r>
            <w:r w:rsidRPr="00E939A4">
              <w:rPr>
                <w:rFonts w:ascii="Arial" w:eastAsia="Zapf Dingbats" w:hAnsi="Arial" w:cs="Arial"/>
                <w:sz w:val="22"/>
                <w:szCs w:val="22"/>
              </w:rPr>
              <w:t>ten und der Zeitspannen der geplanten Überlassung bzw. vereinbarter Lösc</w:t>
            </w:r>
            <w:r w:rsidRPr="00E939A4">
              <w:rPr>
                <w:rFonts w:ascii="Arial" w:eastAsia="Zapf Dingbats" w:hAnsi="Arial" w:cs="Arial"/>
                <w:sz w:val="22"/>
                <w:szCs w:val="22"/>
              </w:rPr>
              <w:t>h</w:t>
            </w:r>
            <w:r w:rsidRPr="00E939A4">
              <w:rPr>
                <w:rFonts w:ascii="Arial" w:eastAsia="Zapf Dingbats" w:hAnsi="Arial" w:cs="Arial"/>
                <w:sz w:val="22"/>
                <w:szCs w:val="22"/>
              </w:rPr>
              <w:t>fristen</w:t>
            </w:r>
          </w:p>
        </w:tc>
        <w:tc>
          <w:tcPr>
            <w:tcW w:w="246"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Fernmeldegeheimnis gem. § 88 TKG</w:t>
            </w:r>
          </w:p>
        </w:tc>
      </w:tr>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E-Mail-Verschlüsselung</w:t>
            </w:r>
          </w:p>
        </w:tc>
        <w:tc>
          <w:tcPr>
            <w:tcW w:w="246"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Sozialgeheimnis gem. § 35 SGB I</w:t>
            </w:r>
          </w:p>
        </w:tc>
      </w:tr>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Einrichtungen von Standleitungen bzw. VPN-Tunneln</w:t>
            </w:r>
            <w:r w:rsidRPr="00E939A4">
              <w:rPr>
                <w:rFonts w:ascii="Arial" w:eastAsia="Zapf Dingbats" w:hAnsi="Arial" w:cs="Arial"/>
                <w:sz w:val="22"/>
                <w:szCs w:val="22"/>
                <w:vertAlign w:val="superscript"/>
              </w:rPr>
              <w:t>*</w:t>
            </w:r>
          </w:p>
        </w:tc>
        <w:tc>
          <w:tcPr>
            <w:tcW w:w="246"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Verbot des Verrats von Geschäfts- und Betriebsgeheimnissen gem. §§ 17 ff. UWG</w:t>
            </w:r>
          </w:p>
        </w:tc>
      </w:tr>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Erstellen einer Übersicht von regelmäß</w:t>
            </w:r>
            <w:r w:rsidRPr="00E939A4">
              <w:rPr>
                <w:rFonts w:ascii="Arial" w:eastAsia="Zapf Dingbats" w:hAnsi="Arial" w:cs="Arial"/>
                <w:sz w:val="22"/>
                <w:szCs w:val="22"/>
              </w:rPr>
              <w:t>i</w:t>
            </w:r>
            <w:r w:rsidRPr="00E939A4">
              <w:rPr>
                <w:rFonts w:ascii="Arial" w:eastAsia="Zapf Dingbats" w:hAnsi="Arial" w:cs="Arial"/>
                <w:sz w:val="22"/>
                <w:szCs w:val="22"/>
              </w:rPr>
              <w:t>gen Abruf- und Übermittlungsvorgängen</w:t>
            </w:r>
            <w:r w:rsidRPr="00E939A4">
              <w:rPr>
                <w:rFonts w:ascii="Arial" w:eastAsia="Zapf Dingbats" w:hAnsi="Arial" w:cs="Arial"/>
                <w:sz w:val="22"/>
                <w:szCs w:val="22"/>
                <w:vertAlign w:val="superscript"/>
              </w:rPr>
              <w:t>*</w:t>
            </w:r>
          </w:p>
        </w:tc>
        <w:tc>
          <w:tcPr>
            <w:tcW w:w="246"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Zwec</w:t>
            </w:r>
            <w:r w:rsidRPr="00E939A4">
              <w:rPr>
                <w:rFonts w:ascii="Arial" w:eastAsia="Zapf Dingbats" w:hAnsi="Arial" w:cs="Arial"/>
                <w:sz w:val="22"/>
                <w:szCs w:val="22"/>
              </w:rPr>
              <w:t>k</w:t>
            </w:r>
            <w:r w:rsidRPr="00E939A4">
              <w:rPr>
                <w:rFonts w:ascii="Arial" w:eastAsia="Zapf Dingbats" w:hAnsi="Arial" w:cs="Arial"/>
                <w:sz w:val="22"/>
                <w:szCs w:val="22"/>
              </w:rPr>
              <w:t>bindung und Geheimhaltungspflicht gem. § 78 Abs. 1 SGB X</w:t>
            </w:r>
          </w:p>
        </w:tc>
      </w:tr>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t>☒</w:t>
            </w:r>
          </w:p>
        </w:tc>
        <w:tc>
          <w:tcPr>
            <w:tcW w:w="2256"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Verpflichtung der Mitarbeiter auf das Datengeheimnis gem. § 5 BDSG</w:t>
            </w:r>
          </w:p>
        </w:tc>
        <w:tc>
          <w:tcPr>
            <w:tcW w:w="246" w:type="pct"/>
            <w:shd w:val="clear" w:color="auto" w:fill="FFFFFF"/>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7832FA">
              <w:rPr>
                <w:rFonts w:ascii="MS Gothic" w:eastAsia="MS Gothic" w:hAnsi="MS Gothic" w:cs="MS Gothic" w:hint="eastAsia"/>
                <w:sz w:val="22"/>
                <w:szCs w:val="22"/>
              </w:rPr>
              <w:t>☒</w:t>
            </w:r>
          </w:p>
        </w:tc>
        <w:tc>
          <w:tcPr>
            <w:tcW w:w="2252" w:type="pct"/>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E939A4">
              <w:rPr>
                <w:rFonts w:ascii="Arial" w:eastAsia="Zapf Dingbats" w:hAnsi="Arial" w:cs="Arial"/>
                <w:sz w:val="22"/>
                <w:szCs w:val="22"/>
              </w:rPr>
              <w:t xml:space="preserve">Weitergabe von Daten in anonymisierter oder </w:t>
            </w:r>
            <w:proofErr w:type="spellStart"/>
            <w:r w:rsidRPr="00E939A4">
              <w:rPr>
                <w:rFonts w:ascii="Arial" w:eastAsia="Zapf Dingbats" w:hAnsi="Arial" w:cs="Arial"/>
                <w:sz w:val="22"/>
                <w:szCs w:val="22"/>
              </w:rPr>
              <w:t>pseudonymisierter</w:t>
            </w:r>
            <w:proofErr w:type="spellEnd"/>
            <w:r w:rsidRPr="00E939A4">
              <w:rPr>
                <w:rFonts w:ascii="Arial" w:eastAsia="Zapf Dingbats" w:hAnsi="Arial" w:cs="Arial"/>
                <w:sz w:val="22"/>
                <w:szCs w:val="22"/>
              </w:rPr>
              <w:t xml:space="preserve"> Form</w:t>
            </w:r>
            <w:r w:rsidRPr="00E939A4">
              <w:rPr>
                <w:rFonts w:ascii="Arial" w:eastAsia="Zapf Dingbats" w:hAnsi="Arial" w:cs="Arial"/>
                <w:sz w:val="22"/>
                <w:szCs w:val="22"/>
                <w:vertAlign w:val="superscript"/>
              </w:rPr>
              <w:t>*</w:t>
            </w:r>
          </w:p>
        </w:tc>
      </w:tr>
      <w:tr w:rsidR="00D27F38" w:rsidRPr="00DA4A05" w:rsidTr="00660E62">
        <w:trPr>
          <w:cantSplit/>
          <w:trHeight w:val="220"/>
        </w:trPr>
        <w:tc>
          <w:tcPr>
            <w:tcW w:w="246" w:type="pct"/>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DA4A05">
              <w:rPr>
                <w:rFonts w:ascii="MS Gothic" w:eastAsia="MS Gothic" w:hAnsi="MS Gothic" w:cs="MS Gothic" w:hint="eastAsia"/>
                <w:sz w:val="22"/>
                <w:szCs w:val="22"/>
              </w:rPr>
              <w:lastRenderedPageBreak/>
              <w:t>☒</w:t>
            </w:r>
          </w:p>
        </w:tc>
        <w:tc>
          <w:tcPr>
            <w:tcW w:w="4754" w:type="pct"/>
            <w:gridSpan w:val="3"/>
            <w:shd w:val="clear" w:color="auto" w:fill="FFFFFF"/>
            <w:tcMar>
              <w:top w:w="100" w:type="dxa"/>
              <w:left w:w="100" w:type="dxa"/>
              <w:bottom w:w="100" w:type="dxa"/>
              <w:right w:w="100" w:type="dxa"/>
            </w:tcMar>
          </w:tcPr>
          <w:p w:rsidR="00D27F38" w:rsidRPr="00E939A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MS Gothic" w:hAnsi="Arial" w:cs="Arial"/>
                <w:sz w:val="22"/>
                <w:szCs w:val="22"/>
              </w:rPr>
            </w:pPr>
            <w:r w:rsidRPr="00E939A4">
              <w:rPr>
                <w:rFonts w:ascii="Arial" w:eastAsia="Zapf Dingbats" w:hAnsi="Arial" w:cs="Arial"/>
                <w:sz w:val="22"/>
                <w:szCs w:val="22"/>
              </w:rPr>
              <w:t>sonstiges: Die Weitergabe von Daten des Auftraggebers erfolgt nur in Abstimmung mit dem Auftraggeber an die vom ihm vorgegeben Empfänger. Alle Mitarbeiter des Auftra</w:t>
            </w:r>
            <w:r w:rsidRPr="00E939A4">
              <w:rPr>
                <w:rFonts w:ascii="Arial" w:eastAsia="Zapf Dingbats" w:hAnsi="Arial" w:cs="Arial"/>
                <w:sz w:val="22"/>
                <w:szCs w:val="22"/>
              </w:rPr>
              <w:t>g</w:t>
            </w:r>
            <w:r w:rsidRPr="00E939A4">
              <w:rPr>
                <w:rFonts w:ascii="Arial" w:eastAsia="Zapf Dingbats" w:hAnsi="Arial" w:cs="Arial"/>
                <w:sz w:val="22"/>
                <w:szCs w:val="22"/>
              </w:rPr>
              <w:t xml:space="preserve">nehmers sind zur Wahrung der Verschwiegenheit sowie des Datengeheimnisses als Bestandteil ihres Arbeitsvertrages mit dem Auftragnehmer verpflichtet und über die rechtlichen Konsequenzen im Fall der Zuwiderhandlung schriftlich belehrt. </w:t>
            </w:r>
          </w:p>
        </w:tc>
      </w:tr>
    </w:tbl>
    <w:p w:rsidR="00D27F38" w:rsidRDefault="00D27F38" w:rsidP="00D27F38"/>
    <w:p w:rsidR="00D27F38" w:rsidRPr="003A2435" w:rsidRDefault="00D27F38" w:rsidP="00D27F38"/>
    <w:p w:rsidR="00D27F38" w:rsidRPr="00AA1923" w:rsidRDefault="00D27F38" w:rsidP="00D27F38">
      <w:pPr>
        <w:pStyle w:val="Listenabsatz"/>
        <w:numPr>
          <w:ilvl w:val="0"/>
          <w:numId w:val="1"/>
        </w:numPr>
        <w:jc w:val="both"/>
        <w:rPr>
          <w:rFonts w:cs="Arial"/>
          <w:b/>
          <w:sz w:val="24"/>
        </w:rPr>
      </w:pPr>
      <w:r w:rsidRPr="00AA1923">
        <w:rPr>
          <w:rFonts w:cs="Arial"/>
          <w:b/>
          <w:sz w:val="24"/>
        </w:rPr>
        <w:t xml:space="preserve">Integrität </w:t>
      </w:r>
    </w:p>
    <w:p w:rsidR="00D27F38" w:rsidRDefault="00D27F38" w:rsidP="00D27F38">
      <w:r w:rsidRPr="00AA1923">
        <w:t>Maßnahmen, die gewährleisten, dass personenb</w:t>
      </w:r>
      <w:r>
        <w:t>ezogene Daten während der Verar</w:t>
      </w:r>
      <w:r w:rsidRPr="00AA1923">
        <w:t>beitung unversehrt, vollständig und aktuell bleiben.</w:t>
      </w:r>
    </w:p>
    <w:p w:rsidR="00D27F38" w:rsidRDefault="00D27F38" w:rsidP="00D27F38"/>
    <w:p w:rsidR="00D27F38" w:rsidRPr="00AF58A3" w:rsidRDefault="00D27F38" w:rsidP="00D27F38">
      <w:pPr>
        <w:pStyle w:val="Listenabsatz"/>
        <w:numPr>
          <w:ilvl w:val="1"/>
          <w:numId w:val="1"/>
        </w:numPr>
        <w:ind w:left="426" w:hanging="426"/>
        <w:jc w:val="both"/>
        <w:rPr>
          <w:rFonts w:cs="Arial"/>
          <w:b/>
          <w:sz w:val="24"/>
        </w:rPr>
      </w:pPr>
      <w:r w:rsidRPr="00AF58A3">
        <w:rPr>
          <w:rFonts w:cs="Arial"/>
          <w:b/>
          <w:sz w:val="24"/>
        </w:rPr>
        <w:t>Eingabekontrolle</w:t>
      </w:r>
    </w:p>
    <w:p w:rsidR="00D27F38" w:rsidRDefault="00D27F38" w:rsidP="00D27F38">
      <w:r w:rsidRPr="00D9246A">
        <w:t>Maßnahmen, die gewährleisten, dass nachträglich geprüft und festgestellt werden kann, ob und von wem personenbezogene Daten in Datenverarbeitungssysteme eingegeben, verä</w:t>
      </w:r>
      <w:r w:rsidRPr="00D9246A">
        <w:t>n</w:t>
      </w:r>
      <w:r w:rsidRPr="00D9246A">
        <w:t>dert o</w:t>
      </w:r>
      <w:r>
        <w:t xml:space="preserve">der entfernt worden sind. </w:t>
      </w:r>
    </w:p>
    <w:p w:rsidR="00D27F38" w:rsidRDefault="00D27F38" w:rsidP="00D27F38"/>
    <w:p w:rsidR="00D27F38" w:rsidRDefault="00D27F38" w:rsidP="00D27F38">
      <w:r w:rsidRPr="00D9246A">
        <w:t>Folgende Maßnahmen sind beim Auftragnehmer zusätzlich zu den vorgenannten Kontrollen umgesetzt:</w:t>
      </w:r>
    </w:p>
    <w:p w:rsidR="00D27F38" w:rsidRDefault="00D27F38" w:rsidP="00D27F38"/>
    <w:tbl>
      <w:tblPr>
        <w:tblW w:w="4942"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6"/>
        <w:gridCol w:w="436"/>
        <w:gridCol w:w="4144"/>
      </w:tblGrid>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Aufbewahrung von Formularen, von denen Daten in automatisierte Verarbe</w:t>
            </w:r>
            <w:r w:rsidRPr="00BC4C24">
              <w:rPr>
                <w:rFonts w:ascii="Arial" w:eastAsia="Zapf Dingbats" w:hAnsi="Arial" w:cs="Arial"/>
                <w:sz w:val="22"/>
                <w:szCs w:val="22"/>
              </w:rPr>
              <w:t>i</w:t>
            </w:r>
            <w:r w:rsidRPr="00BC4C24">
              <w:rPr>
                <w:rFonts w:ascii="Arial" w:eastAsia="Zapf Dingbats" w:hAnsi="Arial" w:cs="Arial"/>
                <w:sz w:val="22"/>
                <w:szCs w:val="22"/>
              </w:rPr>
              <w:t>tungen übernommen worden sind</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Protokollierung der Eingabe, Änderung und Löschung von Daten</w:t>
            </w: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Erstellen einer Übersicht, aus der sich ergibt, mit welchen Applikationen we</w:t>
            </w:r>
            <w:r w:rsidRPr="00BC4C24">
              <w:rPr>
                <w:rFonts w:ascii="Arial" w:eastAsia="Zapf Dingbats" w:hAnsi="Arial" w:cs="Arial"/>
                <w:sz w:val="22"/>
                <w:szCs w:val="22"/>
              </w:rPr>
              <w:t>l</w:t>
            </w:r>
            <w:r w:rsidRPr="00BC4C24">
              <w:rPr>
                <w:rFonts w:ascii="Arial" w:eastAsia="Zapf Dingbats" w:hAnsi="Arial" w:cs="Arial"/>
                <w:sz w:val="22"/>
                <w:szCs w:val="22"/>
              </w:rPr>
              <w:t>che Daten eingegeben, geändert und gelöscht werden können.</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Vergabe von Rechten zur Eingabe, Ä</w:t>
            </w:r>
            <w:r w:rsidRPr="00BC4C24">
              <w:rPr>
                <w:rFonts w:ascii="Arial" w:eastAsia="Zapf Dingbats" w:hAnsi="Arial" w:cs="Arial"/>
                <w:sz w:val="22"/>
                <w:szCs w:val="22"/>
              </w:rPr>
              <w:t>n</w:t>
            </w:r>
            <w:r w:rsidRPr="00BC4C24">
              <w:rPr>
                <w:rFonts w:ascii="Arial" w:eastAsia="Zapf Dingbats" w:hAnsi="Arial" w:cs="Arial"/>
                <w:sz w:val="22"/>
                <w:szCs w:val="22"/>
              </w:rPr>
              <w:t>derung und Löschung von Daten auf Basis eines Berechtigungskonzepts</w:t>
            </w: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282"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Nachvollziehbarkeit von Eingabe, Änd</w:t>
            </w:r>
            <w:r w:rsidRPr="00BC4C24">
              <w:rPr>
                <w:rFonts w:ascii="Arial" w:eastAsia="Zapf Dingbats" w:hAnsi="Arial" w:cs="Arial"/>
                <w:sz w:val="22"/>
                <w:szCs w:val="22"/>
              </w:rPr>
              <w:t>e</w:t>
            </w:r>
            <w:r w:rsidRPr="00BC4C24">
              <w:rPr>
                <w:rFonts w:ascii="Arial" w:eastAsia="Zapf Dingbats" w:hAnsi="Arial" w:cs="Arial"/>
                <w:sz w:val="22"/>
                <w:szCs w:val="22"/>
              </w:rPr>
              <w:t>rung und Löschung von Daten durch individuelle Benutzernamen (nicht B</w:t>
            </w:r>
            <w:r w:rsidRPr="00BC4C24">
              <w:rPr>
                <w:rFonts w:ascii="Arial" w:eastAsia="Zapf Dingbats" w:hAnsi="Arial" w:cs="Arial"/>
                <w:sz w:val="22"/>
                <w:szCs w:val="22"/>
              </w:rPr>
              <w:t>e</w:t>
            </w:r>
            <w:r w:rsidRPr="00BC4C24">
              <w:rPr>
                <w:rFonts w:ascii="Arial" w:eastAsia="Zapf Dingbats" w:hAnsi="Arial" w:cs="Arial"/>
                <w:sz w:val="22"/>
                <w:szCs w:val="22"/>
              </w:rPr>
              <w:t>nutzergruppen)</w:t>
            </w:r>
          </w:p>
        </w:tc>
        <w:tc>
          <w:tcPr>
            <w:tcW w:w="24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c>
          <w:tcPr>
            <w:tcW w:w="2279"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p>
        </w:tc>
      </w:tr>
      <w:tr w:rsidR="00D27F38" w:rsidRPr="00BC4C24" w:rsidTr="00660E62">
        <w:trPr>
          <w:cantSplit/>
          <w:trHeight w:val="220"/>
        </w:trPr>
        <w:tc>
          <w:tcPr>
            <w:tcW w:w="190"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10" w:type="pct"/>
            <w:gridSpan w:val="3"/>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sonstiges: Die Mitarbeiter des Auftragnehmers erstellen, ändern oder löschen von D</w:t>
            </w:r>
            <w:r w:rsidRPr="00BC4C24">
              <w:rPr>
                <w:rFonts w:ascii="Arial" w:eastAsia="Zapf Dingbats" w:hAnsi="Arial" w:cs="Arial"/>
                <w:sz w:val="22"/>
                <w:szCs w:val="22"/>
              </w:rPr>
              <w:t>a</w:t>
            </w:r>
            <w:r w:rsidRPr="00BC4C24">
              <w:rPr>
                <w:rFonts w:ascii="Arial" w:eastAsia="Zapf Dingbats" w:hAnsi="Arial" w:cs="Arial"/>
                <w:sz w:val="22"/>
                <w:szCs w:val="22"/>
              </w:rPr>
              <w:t xml:space="preserve">ten bzw. Datensätze des Auftraggebers nur auf individuelle, schriftliche Weisung im Rahmen des </w:t>
            </w:r>
            <w:proofErr w:type="spellStart"/>
            <w:r w:rsidRPr="00BC4C24">
              <w:rPr>
                <w:rFonts w:ascii="Arial" w:eastAsia="Zapf Dingbats" w:hAnsi="Arial" w:cs="Arial"/>
                <w:sz w:val="22"/>
                <w:szCs w:val="22"/>
              </w:rPr>
              <w:t>Incident</w:t>
            </w:r>
            <w:proofErr w:type="spellEnd"/>
            <w:r w:rsidRPr="00BC4C24">
              <w:rPr>
                <w:rFonts w:ascii="Arial" w:eastAsia="Zapf Dingbats" w:hAnsi="Arial" w:cs="Arial"/>
                <w:sz w:val="22"/>
                <w:szCs w:val="22"/>
              </w:rPr>
              <w:t xml:space="preserve"> und Change Managements sinngemäß ISO/IEC 20000-1:2011. Dabei werden sowohl die Freigabe des Auftraggebers als auch die vorgenommenen Änderungen dokumentiert. Eine Übersicht der vorgenommenen Änderungen ist in den monatlichen Berichten an den Auftraggeber enthalten.</w:t>
            </w:r>
          </w:p>
        </w:tc>
      </w:tr>
    </w:tbl>
    <w:p w:rsidR="00D27F38" w:rsidRDefault="00D27F38" w:rsidP="00D27F38"/>
    <w:p w:rsidR="00D27F38" w:rsidRPr="00AA1923" w:rsidRDefault="00D27F38" w:rsidP="00D27F38">
      <w:pPr>
        <w:pStyle w:val="Listenabsatz"/>
        <w:numPr>
          <w:ilvl w:val="1"/>
          <w:numId w:val="1"/>
        </w:numPr>
        <w:ind w:left="426" w:hanging="426"/>
        <w:jc w:val="both"/>
        <w:rPr>
          <w:rFonts w:cs="Arial"/>
          <w:b/>
          <w:sz w:val="24"/>
        </w:rPr>
      </w:pPr>
      <w:r w:rsidRPr="00AA1923">
        <w:rPr>
          <w:rFonts w:cs="Arial"/>
          <w:b/>
          <w:sz w:val="24"/>
        </w:rPr>
        <w:t>Verfügbarkeitskontrolle</w:t>
      </w:r>
    </w:p>
    <w:p w:rsidR="00D27F38" w:rsidRDefault="00D27F38" w:rsidP="00D27F38">
      <w:r w:rsidRPr="00D425CE">
        <w:t>Maßnahmen, die gewährleisten, dass personenbezogene Daten, gegen zufällige Zerstörung oder Verlust geschützt sind.</w:t>
      </w:r>
      <w:r>
        <w:t xml:space="preserve"> </w:t>
      </w:r>
    </w:p>
    <w:p w:rsidR="00D27F38" w:rsidRDefault="00D27F38" w:rsidP="00D27F38"/>
    <w:p w:rsidR="00D27F38" w:rsidRDefault="00D27F38" w:rsidP="00D27F38">
      <w:r w:rsidRPr="00D425CE">
        <w:t xml:space="preserve">Folgende Maßnahmen sind beim Auftragnehmer </w:t>
      </w:r>
      <w:r w:rsidRPr="00D425CE">
        <w:rPr>
          <w:u w:val="single"/>
        </w:rPr>
        <w:t>zusätzlich</w:t>
      </w:r>
      <w:r w:rsidRPr="00D425CE">
        <w:t xml:space="preserve"> zu den vorgenannten Kontrollen umgesetzt:</w:t>
      </w:r>
    </w:p>
    <w:p w:rsidR="00D27F38" w:rsidRDefault="00D27F38" w:rsidP="00D27F38"/>
    <w:tbl>
      <w:tblPr>
        <w:tblW w:w="5000" w:type="pct"/>
        <w:tblBorders>
          <w:top w:val="single" w:sz="4" w:space="0" w:color="auto"/>
          <w:left w:val="single" w:sz="4" w:space="0" w:color="auto"/>
          <w:bottom w:val="single" w:sz="4" w:space="0" w:color="auto"/>
          <w:right w:val="single" w:sz="4" w:space="0" w:color="auto"/>
        </w:tblBorders>
        <w:shd w:val="clear" w:color="auto" w:fill="FFFFFF"/>
        <w:tblLook w:val="0000" w:firstRow="0" w:lastRow="0" w:firstColumn="0" w:lastColumn="0" w:noHBand="0" w:noVBand="0"/>
      </w:tblPr>
      <w:tblGrid>
        <w:gridCol w:w="451"/>
        <w:gridCol w:w="4189"/>
        <w:gridCol w:w="457"/>
        <w:gridCol w:w="4183"/>
      </w:tblGrid>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Alarmmeldung bei unberechtigten Zutri</w:t>
            </w:r>
            <w:r w:rsidRPr="001B5083">
              <w:rPr>
                <w:rFonts w:ascii="Arial" w:eastAsia="Zapf Dingbats" w:hAnsi="Arial" w:cs="Arial"/>
                <w:sz w:val="22"/>
                <w:szCs w:val="22"/>
              </w:rPr>
              <w:t>t</w:t>
            </w:r>
            <w:r w:rsidRPr="001B5083">
              <w:rPr>
                <w:rFonts w:ascii="Arial" w:eastAsia="Zapf Dingbats" w:hAnsi="Arial" w:cs="Arial"/>
                <w:sz w:val="22"/>
                <w:szCs w:val="22"/>
              </w:rPr>
              <w:t>ten zu Serverräumen</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1B5083">
              <w:rPr>
                <w:rFonts w:ascii="Arial" w:eastAsia="Zapf Dingbats" w:hAnsi="Arial" w:cs="Arial"/>
                <w:strike/>
                <w:sz w:val="22"/>
                <w:szCs w:val="22"/>
              </w:rPr>
              <w:t>Notfallhandbuch</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Aufbewahrung von Datensicherung an einem sicheren, ausgelagerten Ort</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1B5083">
              <w:rPr>
                <w:rFonts w:ascii="Arial" w:eastAsia="Zapf Dingbats" w:hAnsi="Arial" w:cs="Arial"/>
                <w:strike/>
                <w:sz w:val="22"/>
                <w:szCs w:val="22"/>
              </w:rPr>
              <w:t>Notfallkonzept (BCM)</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lastRenderedPageBreak/>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Feuer- und Rauchmeldeanlagen</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trike/>
                <w:sz w:val="22"/>
                <w:szCs w:val="22"/>
              </w:rPr>
              <w:t>Notfallplan</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Feuerlösch</w:t>
            </w:r>
            <w:r>
              <w:rPr>
                <w:rFonts w:ascii="Arial" w:eastAsia="Zapf Dingbats" w:hAnsi="Arial" w:cs="Arial"/>
                <w:sz w:val="22"/>
                <w:szCs w:val="22"/>
              </w:rPr>
              <w:t xml:space="preserve">anlagen </w:t>
            </w:r>
            <w:r w:rsidRPr="001B5083">
              <w:rPr>
                <w:rFonts w:ascii="Arial" w:eastAsia="Zapf Dingbats" w:hAnsi="Arial" w:cs="Arial"/>
                <w:sz w:val="22"/>
                <w:szCs w:val="22"/>
              </w:rPr>
              <w:t>in Serverräumen</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Regelungen zur Verfügbarkeit und Z</w:t>
            </w:r>
            <w:r w:rsidRPr="001B5083">
              <w:rPr>
                <w:rFonts w:ascii="Arial" w:eastAsia="Zapf Dingbats" w:hAnsi="Arial" w:cs="Arial"/>
                <w:sz w:val="22"/>
                <w:szCs w:val="22"/>
              </w:rPr>
              <w:t>u</w:t>
            </w:r>
            <w:r w:rsidRPr="001B5083">
              <w:rPr>
                <w:rFonts w:ascii="Arial" w:eastAsia="Zapf Dingbats" w:hAnsi="Arial" w:cs="Arial"/>
                <w:sz w:val="22"/>
                <w:szCs w:val="22"/>
              </w:rPr>
              <w:t>verlässigkeit der vom Auftragnehmer erbachten Leistung</w:t>
            </w:r>
            <w:r w:rsidRPr="001B5083">
              <w:rPr>
                <w:rFonts w:ascii="Arial" w:eastAsia="Zapf Dingbats" w:hAnsi="Arial" w:cs="Arial"/>
                <w:sz w:val="22"/>
                <w:szCs w:val="22"/>
                <w:vertAlign w:val="superscript"/>
              </w:rPr>
              <w:t>*</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Geräte zur Überwachung von Temper</w:t>
            </w:r>
            <w:r w:rsidRPr="001B5083">
              <w:rPr>
                <w:rFonts w:ascii="Arial" w:eastAsia="Zapf Dingbats" w:hAnsi="Arial" w:cs="Arial"/>
                <w:sz w:val="22"/>
                <w:szCs w:val="22"/>
              </w:rPr>
              <w:t>a</w:t>
            </w:r>
            <w:r w:rsidRPr="001B5083">
              <w:rPr>
                <w:rFonts w:ascii="Arial" w:eastAsia="Zapf Dingbats" w:hAnsi="Arial" w:cs="Arial"/>
                <w:sz w:val="22"/>
                <w:szCs w:val="22"/>
              </w:rPr>
              <w:t>tur und Feuchtigkeit in Serverräumen</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Überspannungsschutzkonzept</w:t>
            </w:r>
            <w:r w:rsidRPr="001B5083">
              <w:rPr>
                <w:rFonts w:ascii="Arial" w:eastAsia="Zapf Dingbats" w:hAnsi="Arial" w:cs="Arial"/>
                <w:sz w:val="22"/>
                <w:szCs w:val="22"/>
              </w:rPr>
              <w:t xml:space="preserve"> in Serve</w:t>
            </w:r>
            <w:r w:rsidRPr="001B5083">
              <w:rPr>
                <w:rFonts w:ascii="Arial" w:eastAsia="Zapf Dingbats" w:hAnsi="Arial" w:cs="Arial"/>
                <w:sz w:val="22"/>
                <w:szCs w:val="22"/>
              </w:rPr>
              <w:t>r</w:t>
            </w:r>
            <w:r w:rsidRPr="001B5083">
              <w:rPr>
                <w:rFonts w:ascii="Arial" w:eastAsia="Zapf Dingbats" w:hAnsi="Arial" w:cs="Arial"/>
                <w:sz w:val="22"/>
                <w:szCs w:val="22"/>
              </w:rPr>
              <w:t>räumen</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auto"/>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auto"/>
                <w:sz w:val="22"/>
                <w:szCs w:val="22"/>
              </w:rPr>
            </w:pPr>
            <w:r w:rsidRPr="001B5083">
              <w:rPr>
                <w:rFonts w:ascii="Arial" w:eastAsia="Zapf Dingbats" w:hAnsi="Arial" w:cs="Arial"/>
                <w:color w:val="auto"/>
                <w:sz w:val="22"/>
                <w:szCs w:val="22"/>
              </w:rPr>
              <w:t>Klimatisierte Serverräume</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 xml:space="preserve">Maßnahmen gegen Wassereinbruch in </w:t>
            </w:r>
            <w:r w:rsidRPr="001B5083">
              <w:rPr>
                <w:rFonts w:ascii="Arial" w:eastAsia="Zapf Dingbats" w:hAnsi="Arial" w:cs="Arial"/>
                <w:sz w:val="22"/>
                <w:szCs w:val="22"/>
              </w:rPr>
              <w:t>Serverräu</w:t>
            </w:r>
            <w:r>
              <w:rPr>
                <w:rFonts w:ascii="Arial" w:eastAsia="Zapf Dingbats" w:hAnsi="Arial" w:cs="Arial"/>
                <w:sz w:val="22"/>
                <w:szCs w:val="22"/>
              </w:rPr>
              <w:t>me</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Konzept zur Sicherung und Wiederhe</w:t>
            </w:r>
            <w:r w:rsidRPr="001B5083">
              <w:rPr>
                <w:rFonts w:ascii="Arial" w:eastAsia="Zapf Dingbats" w:hAnsi="Arial" w:cs="Arial"/>
                <w:sz w:val="22"/>
                <w:szCs w:val="22"/>
              </w:rPr>
              <w:t>r</w:t>
            </w:r>
            <w:r w:rsidRPr="001B5083">
              <w:rPr>
                <w:rFonts w:ascii="Arial" w:eastAsia="Zapf Dingbats" w:hAnsi="Arial" w:cs="Arial"/>
                <w:sz w:val="22"/>
                <w:szCs w:val="22"/>
              </w:rPr>
              <w:t xml:space="preserve">stellung von Daten (Backup, </w:t>
            </w:r>
            <w:proofErr w:type="spellStart"/>
            <w:r w:rsidRPr="001B5083">
              <w:rPr>
                <w:rFonts w:ascii="Arial" w:eastAsia="Zapf Dingbats" w:hAnsi="Arial" w:cs="Arial"/>
                <w:sz w:val="22"/>
                <w:szCs w:val="22"/>
              </w:rPr>
              <w:t>Restore</w:t>
            </w:r>
            <w:proofErr w:type="spellEnd"/>
            <w:r w:rsidRPr="001B5083">
              <w:rPr>
                <w:rFonts w:ascii="Arial" w:eastAsia="Zapf Dingbats" w:hAnsi="Arial" w:cs="Arial"/>
                <w:sz w:val="22"/>
                <w:szCs w:val="22"/>
              </w:rPr>
              <w:t xml:space="preserve">, </w:t>
            </w:r>
            <w:proofErr w:type="spellStart"/>
            <w:r w:rsidRPr="001B5083">
              <w:rPr>
                <w:rFonts w:ascii="Arial" w:eastAsia="Zapf Dingbats" w:hAnsi="Arial" w:cs="Arial"/>
                <w:sz w:val="22"/>
                <w:szCs w:val="22"/>
              </w:rPr>
              <w:t>Recovery</w:t>
            </w:r>
            <w:proofErr w:type="spellEnd"/>
            <w:r w:rsidRPr="001B5083">
              <w:rPr>
                <w:rFonts w:ascii="Arial" w:eastAsia="Zapf Dingbats" w:hAnsi="Arial" w:cs="Arial"/>
                <w:sz w:val="22"/>
                <w:szCs w:val="22"/>
              </w:rPr>
              <w:t>) durch den Auftragnehmer</w:t>
            </w:r>
            <w:r w:rsidRPr="001B5083">
              <w:rPr>
                <w:rFonts w:ascii="Arial" w:eastAsia="Zapf Dingbats" w:hAnsi="Arial" w:cs="Arial"/>
                <w:sz w:val="22"/>
                <w:szCs w:val="22"/>
                <w:vertAlign w:val="superscript"/>
              </w:rPr>
              <w:t>*</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Testen von Datenwiederherstellung</w:t>
            </w:r>
            <w:r w:rsidRPr="001B5083">
              <w:rPr>
                <w:rFonts w:ascii="Arial" w:eastAsia="Zapf Dingbats" w:hAnsi="Arial" w:cs="Arial"/>
                <w:sz w:val="22"/>
                <w:szCs w:val="22"/>
                <w:vertAlign w:val="superscript"/>
              </w:rPr>
              <w:t>*</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7"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Konzept zur Archivierung von Daten durch den Auftragnehmer</w:t>
            </w:r>
            <w:r w:rsidRPr="001B5083">
              <w:rPr>
                <w:rFonts w:ascii="Arial" w:eastAsia="Zapf Dingbats" w:hAnsi="Arial" w:cs="Arial"/>
                <w:sz w:val="22"/>
                <w:szCs w:val="22"/>
                <w:vertAlign w:val="superscript"/>
              </w:rPr>
              <w:t>*</w:t>
            </w:r>
          </w:p>
        </w:tc>
        <w:tc>
          <w:tcPr>
            <w:tcW w:w="246"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2254" w:type="pct"/>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Unterbrechungsfreie Stromversorgung (USV)</w:t>
            </w:r>
          </w:p>
        </w:tc>
      </w:tr>
      <w:tr w:rsidR="00D27F38" w:rsidRPr="001B5083" w:rsidTr="00660E62">
        <w:trPr>
          <w:cantSplit/>
          <w:trHeight w:val="220"/>
        </w:trPr>
        <w:tc>
          <w:tcPr>
            <w:tcW w:w="243" w:type="pct"/>
            <w:shd w:val="clear" w:color="auto" w:fill="FFFFFF"/>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MS Gothic" w:eastAsia="MS Gothic" w:hAnsi="MS Gothic" w:cs="MS Gothic" w:hint="eastAsia"/>
                <w:sz w:val="22"/>
                <w:szCs w:val="22"/>
              </w:rPr>
              <w:t>☒</w:t>
            </w:r>
          </w:p>
        </w:tc>
        <w:tc>
          <w:tcPr>
            <w:tcW w:w="4757" w:type="pct"/>
            <w:gridSpan w:val="3"/>
            <w:shd w:val="clear" w:color="auto" w:fill="FFFFFF"/>
            <w:tcMar>
              <w:top w:w="100" w:type="dxa"/>
              <w:left w:w="100" w:type="dxa"/>
              <w:bottom w:w="100" w:type="dxa"/>
              <w:right w:w="100" w:type="dxa"/>
            </w:tcMar>
          </w:tcPr>
          <w:p w:rsidR="00D27F38" w:rsidRPr="001B5083"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1B5083">
              <w:rPr>
                <w:rFonts w:ascii="Arial" w:eastAsia="Zapf Dingbats" w:hAnsi="Arial" w:cs="Arial"/>
                <w:sz w:val="22"/>
                <w:szCs w:val="22"/>
              </w:rPr>
              <w:t xml:space="preserve">sonstiges: </w:t>
            </w:r>
            <w:commentRangeStart w:id="5"/>
            <w:r w:rsidRPr="001B5083">
              <w:rPr>
                <w:rFonts w:ascii="Arial" w:eastAsia="Zapf Dingbats" w:hAnsi="Arial" w:cs="Arial"/>
                <w:sz w:val="22"/>
                <w:szCs w:val="22"/>
              </w:rPr>
              <w:t xml:space="preserve">Einzelheiten zu der zwischen Auftraggeber und Auftragnehmer vereinbarten Verfügbarkeit sowie den Backup-, </w:t>
            </w:r>
            <w:proofErr w:type="spellStart"/>
            <w:r w:rsidRPr="001B5083">
              <w:rPr>
                <w:rFonts w:ascii="Arial" w:eastAsia="Zapf Dingbats" w:hAnsi="Arial" w:cs="Arial"/>
                <w:sz w:val="22"/>
                <w:szCs w:val="22"/>
              </w:rPr>
              <w:t>Restore</w:t>
            </w:r>
            <w:proofErr w:type="spellEnd"/>
            <w:r w:rsidRPr="001B5083">
              <w:rPr>
                <w:rFonts w:ascii="Arial" w:eastAsia="Zapf Dingbats" w:hAnsi="Arial" w:cs="Arial"/>
                <w:sz w:val="22"/>
                <w:szCs w:val="22"/>
              </w:rPr>
              <w:t xml:space="preserve">- und </w:t>
            </w:r>
            <w:proofErr w:type="spellStart"/>
            <w:r w:rsidRPr="001B5083">
              <w:rPr>
                <w:rFonts w:ascii="Arial" w:eastAsia="Zapf Dingbats" w:hAnsi="Arial" w:cs="Arial"/>
                <w:sz w:val="22"/>
                <w:szCs w:val="22"/>
              </w:rPr>
              <w:t>Recovery</w:t>
            </w:r>
            <w:proofErr w:type="spellEnd"/>
            <w:r w:rsidRPr="001B5083">
              <w:rPr>
                <w:rFonts w:ascii="Arial" w:eastAsia="Zapf Dingbats" w:hAnsi="Arial" w:cs="Arial"/>
                <w:sz w:val="22"/>
                <w:szCs w:val="22"/>
              </w:rPr>
              <w:t>-Maßnahmen sind im zugru</w:t>
            </w:r>
            <w:r w:rsidRPr="001B5083">
              <w:rPr>
                <w:rFonts w:ascii="Arial" w:eastAsia="Zapf Dingbats" w:hAnsi="Arial" w:cs="Arial"/>
                <w:sz w:val="22"/>
                <w:szCs w:val="22"/>
              </w:rPr>
              <w:t>n</w:t>
            </w:r>
            <w:r w:rsidRPr="001B5083">
              <w:rPr>
                <w:rFonts w:ascii="Arial" w:eastAsia="Zapf Dingbats" w:hAnsi="Arial" w:cs="Arial"/>
                <w:sz w:val="22"/>
                <w:szCs w:val="22"/>
              </w:rPr>
              <w:t xml:space="preserve">deliegenden Dienstleistungsvertrag beschrieben. </w:t>
            </w:r>
            <w:r w:rsidRPr="001B5083">
              <w:rPr>
                <w:rFonts w:ascii="Arial" w:eastAsia="MS Gothic" w:hAnsi="Arial" w:cs="Arial"/>
                <w:sz w:val="22"/>
                <w:szCs w:val="22"/>
              </w:rPr>
              <w:t xml:space="preserve">Dies gilt auch für die begleitenden, mit </w:t>
            </w:r>
            <w:r w:rsidRPr="001B5083">
              <w:rPr>
                <w:rFonts w:ascii="Arial" w:eastAsia="MS Gothic" w:hAnsi="Arial" w:cs="Arial"/>
                <w:sz w:val="22"/>
                <w:szCs w:val="22"/>
                <w:vertAlign w:val="superscript"/>
              </w:rPr>
              <w:t>*</w:t>
            </w:r>
            <w:r w:rsidRPr="001B5083">
              <w:rPr>
                <w:rFonts w:ascii="Arial" w:eastAsia="MS Gothic" w:hAnsi="Arial" w:cs="Arial"/>
                <w:sz w:val="22"/>
                <w:szCs w:val="22"/>
              </w:rPr>
              <w:t xml:space="preserve"> gekennzeichneten Maßnahmen.</w:t>
            </w:r>
            <w:commentRangeEnd w:id="5"/>
            <w:r>
              <w:rPr>
                <w:rStyle w:val="Kommentarzeichen"/>
                <w:rFonts w:ascii="Arial" w:eastAsia="Times New Roman" w:hAnsi="Arial"/>
                <w:color w:val="auto"/>
              </w:rPr>
              <w:commentReference w:id="5"/>
            </w:r>
          </w:p>
        </w:tc>
      </w:tr>
    </w:tbl>
    <w:p w:rsidR="00D27F38" w:rsidRDefault="00D27F38" w:rsidP="00D27F38"/>
    <w:p w:rsidR="00D27F38" w:rsidRDefault="00D27F38" w:rsidP="00D27F38"/>
    <w:p w:rsidR="00D27F38" w:rsidRPr="00AF58A3" w:rsidRDefault="00D27F38" w:rsidP="00D27F38">
      <w:pPr>
        <w:pStyle w:val="Listenabsatz"/>
        <w:numPr>
          <w:ilvl w:val="1"/>
          <w:numId w:val="1"/>
        </w:numPr>
        <w:ind w:left="426" w:hanging="426"/>
        <w:jc w:val="both"/>
        <w:rPr>
          <w:rFonts w:cs="Arial"/>
          <w:b/>
          <w:sz w:val="24"/>
        </w:rPr>
      </w:pPr>
      <w:r w:rsidRPr="00AF58A3">
        <w:rPr>
          <w:rFonts w:cs="Arial"/>
          <w:b/>
          <w:sz w:val="24"/>
        </w:rPr>
        <w:t>Auftragskontrolle</w:t>
      </w:r>
    </w:p>
    <w:p w:rsidR="00D27F38" w:rsidRDefault="00D27F38" w:rsidP="00D27F38">
      <w:r w:rsidRPr="00D425CE">
        <w:t>Maßnahmen, die gewährleisten, dass personenbezogene Daten, die im Auftrag verarbeitet werden, nur entsprechend den Weisungen des Auftraggebers verarbeitet werden können</w:t>
      </w:r>
      <w:r>
        <w:t xml:space="preserve">. </w:t>
      </w:r>
    </w:p>
    <w:p w:rsidR="00D27F38" w:rsidRDefault="00D27F38" w:rsidP="00D27F38"/>
    <w:p w:rsidR="00D27F38" w:rsidRDefault="00D27F38" w:rsidP="00D27F38">
      <w:r w:rsidRPr="00D425CE">
        <w:t xml:space="preserve">Folgende Maßnahmen werden </w:t>
      </w:r>
      <w:r w:rsidRPr="00D425CE">
        <w:rPr>
          <w:u w:val="single"/>
        </w:rPr>
        <w:t>zusätzlich</w:t>
      </w:r>
      <w:r w:rsidRPr="00D425CE">
        <w:t xml:space="preserve"> zu den vorgenannten Kontrollen vom  Auftragg</w:t>
      </w:r>
      <w:r w:rsidRPr="00D425CE">
        <w:t>e</w:t>
      </w:r>
      <w:r w:rsidRPr="00D425CE">
        <w:t>ber und vom Auftragnehmer umgesetzt:</w:t>
      </w:r>
    </w:p>
    <w:p w:rsidR="00D27F38" w:rsidRPr="00D425CE" w:rsidRDefault="00D27F38" w:rsidP="00D27F38"/>
    <w:tbl>
      <w:tblPr>
        <w:tblW w:w="4995" w:type="pct"/>
        <w:shd w:val="clear" w:color="auto" w:fill="FFFFFF"/>
        <w:tblLook w:val="0000" w:firstRow="0" w:lastRow="0" w:firstColumn="0" w:lastColumn="0" w:noHBand="0" w:noVBand="0"/>
      </w:tblPr>
      <w:tblGrid>
        <w:gridCol w:w="456"/>
        <w:gridCol w:w="4194"/>
        <w:gridCol w:w="444"/>
        <w:gridCol w:w="4185"/>
      </w:tblGrid>
      <w:tr w:rsidR="00D27F38" w:rsidRPr="00DA4A05" w:rsidTr="00660E62">
        <w:trPr>
          <w:cantSplit/>
          <w:trHeight w:val="220"/>
        </w:trPr>
        <w:tc>
          <w:tcPr>
            <w:tcW w:w="2506" w:type="pct"/>
            <w:gridSpan w:val="2"/>
            <w:tcBorders>
              <w:top w:val="single" w:sz="4" w:space="0" w:color="auto"/>
              <w:left w:val="single" w:sz="4" w:space="0" w:color="auto"/>
              <w:righ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color w:val="FF0000"/>
                <w:sz w:val="22"/>
                <w:szCs w:val="22"/>
              </w:rPr>
            </w:pPr>
            <w:r w:rsidRPr="00DA4A05">
              <w:rPr>
                <w:rFonts w:ascii="Arial" w:eastAsia="Zapf Dingbats" w:hAnsi="Arial" w:cs="Arial"/>
                <w:i/>
                <w:color w:val="auto"/>
                <w:sz w:val="22"/>
                <w:szCs w:val="22"/>
              </w:rPr>
              <w:t xml:space="preserve">Maßnahmen, die die </w:t>
            </w:r>
            <w:r w:rsidRPr="00DA4A05">
              <w:rPr>
                <w:rFonts w:ascii="Arial" w:eastAsia="Zapf Dingbats" w:hAnsi="Arial" w:cs="Arial"/>
                <w:i/>
                <w:color w:val="auto"/>
                <w:sz w:val="22"/>
                <w:szCs w:val="22"/>
                <w:u w:val="single"/>
              </w:rPr>
              <w:t>Auftragsdatenverarbe</w:t>
            </w:r>
            <w:r w:rsidRPr="00DA4A05">
              <w:rPr>
                <w:rFonts w:ascii="Arial" w:eastAsia="Zapf Dingbats" w:hAnsi="Arial" w:cs="Arial"/>
                <w:i/>
                <w:color w:val="auto"/>
                <w:sz w:val="22"/>
                <w:szCs w:val="22"/>
                <w:u w:val="single"/>
              </w:rPr>
              <w:t>i</w:t>
            </w:r>
            <w:r w:rsidRPr="00DA4A05">
              <w:rPr>
                <w:rFonts w:ascii="Arial" w:eastAsia="Zapf Dingbats" w:hAnsi="Arial" w:cs="Arial"/>
                <w:i/>
                <w:color w:val="auto"/>
                <w:sz w:val="22"/>
                <w:szCs w:val="22"/>
                <w:u w:val="single"/>
              </w:rPr>
              <w:t>tung durch den Auftragnehmer</w:t>
            </w:r>
            <w:r w:rsidRPr="00DA4A05">
              <w:rPr>
                <w:rFonts w:ascii="Arial" w:eastAsia="Zapf Dingbats" w:hAnsi="Arial" w:cs="Arial"/>
                <w:i/>
                <w:color w:val="auto"/>
                <w:sz w:val="22"/>
                <w:szCs w:val="22"/>
              </w:rPr>
              <w:t xml:space="preserve"> regulieren:</w:t>
            </w:r>
            <w:r w:rsidRPr="00DA4A05">
              <w:rPr>
                <w:rFonts w:ascii="Arial" w:eastAsia="Zapf Dingbats" w:hAnsi="Arial" w:cs="Arial"/>
                <w:color w:val="FF0000"/>
                <w:sz w:val="22"/>
                <w:szCs w:val="22"/>
              </w:rPr>
              <w:t>:</w:t>
            </w:r>
          </w:p>
        </w:tc>
        <w:tc>
          <w:tcPr>
            <w:tcW w:w="2494" w:type="pct"/>
            <w:gridSpan w:val="2"/>
            <w:tcBorders>
              <w:top w:val="single" w:sz="4" w:space="0" w:color="auto"/>
              <w:left w:val="dashSmallGap" w:sz="4" w:space="0" w:color="auto"/>
              <w:righ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i/>
                <w:color w:val="auto"/>
                <w:sz w:val="22"/>
                <w:szCs w:val="22"/>
              </w:rPr>
            </w:pPr>
            <w:r w:rsidRPr="00DA4A05">
              <w:rPr>
                <w:rFonts w:ascii="Arial" w:eastAsia="Zapf Dingbats" w:hAnsi="Arial" w:cs="Arial"/>
                <w:i/>
                <w:color w:val="auto"/>
                <w:sz w:val="22"/>
                <w:szCs w:val="22"/>
              </w:rPr>
              <w:t xml:space="preserve">Maßnahmen, die eine mögliche  </w:t>
            </w:r>
            <w:r w:rsidRPr="00DA4A05">
              <w:rPr>
                <w:rFonts w:ascii="Arial" w:eastAsia="Zapf Dingbats" w:hAnsi="Arial" w:cs="Arial"/>
                <w:i/>
                <w:color w:val="auto"/>
                <w:sz w:val="22"/>
                <w:szCs w:val="22"/>
                <w:u w:val="single"/>
              </w:rPr>
              <w:t>Auftragsd</w:t>
            </w:r>
            <w:r w:rsidRPr="00DA4A05">
              <w:rPr>
                <w:rFonts w:ascii="Arial" w:eastAsia="Zapf Dingbats" w:hAnsi="Arial" w:cs="Arial"/>
                <w:i/>
                <w:color w:val="auto"/>
                <w:sz w:val="22"/>
                <w:szCs w:val="22"/>
                <w:u w:val="single"/>
              </w:rPr>
              <w:t>a</w:t>
            </w:r>
            <w:r w:rsidRPr="00DA4A05">
              <w:rPr>
                <w:rFonts w:ascii="Arial" w:eastAsia="Zapf Dingbats" w:hAnsi="Arial" w:cs="Arial"/>
                <w:i/>
                <w:color w:val="auto"/>
                <w:sz w:val="22"/>
                <w:szCs w:val="22"/>
                <w:u w:val="single"/>
              </w:rPr>
              <w:t>tenverarbeitung durch Unterauftragnehmer</w:t>
            </w:r>
            <w:r w:rsidRPr="00DA4A05">
              <w:rPr>
                <w:rFonts w:ascii="Arial" w:eastAsia="Zapf Dingbats" w:hAnsi="Arial" w:cs="Arial"/>
                <w:i/>
                <w:color w:val="auto"/>
                <w:sz w:val="22"/>
                <w:szCs w:val="22"/>
              </w:rPr>
              <w:t xml:space="preserve"> des Auftragnehmers regulieren:</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Auswahl des Auftragnehmers durch den Auftraggeber unter Sorgfaltsgesicht</w:t>
            </w:r>
            <w:r w:rsidRPr="00DA4A05">
              <w:rPr>
                <w:rFonts w:ascii="Arial" w:eastAsia="Zapf Dingbats" w:hAnsi="Arial" w:cs="Arial"/>
                <w:sz w:val="22"/>
                <w:szCs w:val="22"/>
              </w:rPr>
              <w:t>s</w:t>
            </w:r>
            <w:r w:rsidRPr="00DA4A05">
              <w:rPr>
                <w:rFonts w:ascii="Arial" w:eastAsia="Zapf Dingbats" w:hAnsi="Arial" w:cs="Arial"/>
                <w:sz w:val="22"/>
                <w:szCs w:val="22"/>
              </w:rPr>
              <w:t>punkten (insbesondere hinsichtlich D</w:t>
            </w:r>
            <w:r w:rsidRPr="00DA4A05">
              <w:rPr>
                <w:rFonts w:ascii="Arial" w:eastAsia="Zapf Dingbats" w:hAnsi="Arial" w:cs="Arial"/>
                <w:sz w:val="22"/>
                <w:szCs w:val="22"/>
              </w:rPr>
              <w:t>a</w:t>
            </w:r>
            <w:r w:rsidRPr="00DA4A05">
              <w:rPr>
                <w:rFonts w:ascii="Arial" w:eastAsia="Zapf Dingbats" w:hAnsi="Arial" w:cs="Arial"/>
                <w:sz w:val="22"/>
                <w:szCs w:val="22"/>
              </w:rPr>
              <w:t>tensicherheit)</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Auswahl des Unterauftragnehmers durch den Auftragnehmer  unter Sor</w:t>
            </w:r>
            <w:r w:rsidRPr="00DA4A05">
              <w:rPr>
                <w:rFonts w:ascii="Arial" w:eastAsia="Zapf Dingbats" w:hAnsi="Arial" w:cs="Arial"/>
                <w:strike/>
                <w:sz w:val="22"/>
                <w:szCs w:val="22"/>
              </w:rPr>
              <w:t>g</w:t>
            </w:r>
            <w:r w:rsidRPr="00DA4A05">
              <w:rPr>
                <w:rFonts w:ascii="Arial" w:eastAsia="Zapf Dingbats" w:hAnsi="Arial" w:cs="Arial"/>
                <w:strike/>
                <w:sz w:val="22"/>
                <w:szCs w:val="22"/>
              </w:rPr>
              <w:t>faltsgesichtspunkten (insbesondere hi</w:t>
            </w:r>
            <w:r w:rsidRPr="00DA4A05">
              <w:rPr>
                <w:rFonts w:ascii="Arial" w:eastAsia="Zapf Dingbats" w:hAnsi="Arial" w:cs="Arial"/>
                <w:strike/>
                <w:sz w:val="22"/>
                <w:szCs w:val="22"/>
              </w:rPr>
              <w:t>n</w:t>
            </w:r>
            <w:r w:rsidRPr="00DA4A05">
              <w:rPr>
                <w:rFonts w:ascii="Arial" w:eastAsia="Zapf Dingbats" w:hAnsi="Arial" w:cs="Arial"/>
                <w:strike/>
                <w:sz w:val="22"/>
                <w:szCs w:val="22"/>
              </w:rPr>
              <w:t>sichtlich Datensicherheit)</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Prüfung des Auftraggebers auf Beste</w:t>
            </w:r>
            <w:r w:rsidRPr="00DA4A05">
              <w:rPr>
                <w:rFonts w:ascii="Arial" w:eastAsia="Zapf Dingbats" w:hAnsi="Arial" w:cs="Arial"/>
                <w:sz w:val="22"/>
                <w:szCs w:val="22"/>
              </w:rPr>
              <w:t>l</w:t>
            </w:r>
            <w:r w:rsidRPr="00DA4A05">
              <w:rPr>
                <w:rFonts w:ascii="Arial" w:eastAsia="Zapf Dingbats" w:hAnsi="Arial" w:cs="Arial"/>
                <w:sz w:val="22"/>
                <w:szCs w:val="22"/>
              </w:rPr>
              <w:t>lung eines Datenschutzbeauftragten beim Auftragnehmer</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Prüfung des Auftragnehmers auf Beste</w:t>
            </w:r>
            <w:r w:rsidRPr="00DA4A05">
              <w:rPr>
                <w:rFonts w:ascii="Arial" w:eastAsia="Zapf Dingbats" w:hAnsi="Arial" w:cs="Arial"/>
                <w:strike/>
                <w:sz w:val="22"/>
                <w:szCs w:val="22"/>
              </w:rPr>
              <w:t>l</w:t>
            </w:r>
            <w:r w:rsidRPr="00DA4A05">
              <w:rPr>
                <w:rFonts w:ascii="Arial" w:eastAsia="Zapf Dingbats" w:hAnsi="Arial" w:cs="Arial"/>
                <w:strike/>
                <w:sz w:val="22"/>
                <w:szCs w:val="22"/>
              </w:rPr>
              <w:t>lung eines Datenschutzbeauftragten beim Unterauftragnehmer</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Prüfung der Dokumentation und der beim Auftragnehmer getroffenen Siche</w:t>
            </w:r>
            <w:r w:rsidRPr="00DA4A05">
              <w:rPr>
                <w:rFonts w:ascii="Arial" w:eastAsia="Zapf Dingbats" w:hAnsi="Arial" w:cs="Arial"/>
                <w:sz w:val="22"/>
                <w:szCs w:val="22"/>
              </w:rPr>
              <w:t>r</w:t>
            </w:r>
            <w:r w:rsidRPr="00DA4A05">
              <w:rPr>
                <w:rFonts w:ascii="Arial" w:eastAsia="Zapf Dingbats" w:hAnsi="Arial" w:cs="Arial"/>
                <w:sz w:val="22"/>
                <w:szCs w:val="22"/>
              </w:rPr>
              <w:t>heits</w:t>
            </w:r>
            <w:r w:rsidRPr="00DA4A05">
              <w:rPr>
                <w:rFonts w:ascii="Arial" w:eastAsia="Zapf Dingbats" w:hAnsi="Arial" w:cs="Arial"/>
                <w:sz w:val="22"/>
                <w:szCs w:val="22"/>
              </w:rPr>
              <w:softHyphen/>
              <w:t>maßnahmen durch den Auftragg</w:t>
            </w:r>
            <w:r w:rsidRPr="00DA4A05">
              <w:rPr>
                <w:rFonts w:ascii="Arial" w:eastAsia="Zapf Dingbats" w:hAnsi="Arial" w:cs="Arial"/>
                <w:sz w:val="22"/>
                <w:szCs w:val="22"/>
              </w:rPr>
              <w:t>e</w:t>
            </w:r>
            <w:r w:rsidRPr="00DA4A05">
              <w:rPr>
                <w:rFonts w:ascii="Arial" w:eastAsia="Zapf Dingbats" w:hAnsi="Arial" w:cs="Arial"/>
                <w:sz w:val="22"/>
                <w:szCs w:val="22"/>
              </w:rPr>
              <w:t>ber vor Beginn der Datenverarbeitung</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Prüfung der Dokumentation und der beim Unterauftragnehmer getroffenen Sicherheits</w:t>
            </w:r>
            <w:r w:rsidRPr="00DA4A05">
              <w:rPr>
                <w:rFonts w:ascii="Arial" w:eastAsia="Zapf Dingbats" w:hAnsi="Arial" w:cs="Arial"/>
                <w:strike/>
                <w:sz w:val="22"/>
                <w:szCs w:val="22"/>
              </w:rPr>
              <w:softHyphen/>
              <w:t>maßnahmen durch den Au</w:t>
            </w:r>
            <w:r w:rsidRPr="00DA4A05">
              <w:rPr>
                <w:rFonts w:ascii="Arial" w:eastAsia="Zapf Dingbats" w:hAnsi="Arial" w:cs="Arial"/>
                <w:strike/>
                <w:sz w:val="22"/>
                <w:szCs w:val="22"/>
              </w:rPr>
              <w:t>f</w:t>
            </w:r>
            <w:r w:rsidRPr="00DA4A05">
              <w:rPr>
                <w:rFonts w:ascii="Arial" w:eastAsia="Zapf Dingbats" w:hAnsi="Arial" w:cs="Arial"/>
                <w:strike/>
                <w:sz w:val="22"/>
                <w:szCs w:val="22"/>
              </w:rPr>
              <w:t>tragnehmer vor Beginn der Datenvera</w:t>
            </w:r>
            <w:r w:rsidRPr="00DA4A05">
              <w:rPr>
                <w:rFonts w:ascii="Arial" w:eastAsia="Zapf Dingbats" w:hAnsi="Arial" w:cs="Arial"/>
                <w:strike/>
                <w:sz w:val="22"/>
                <w:szCs w:val="22"/>
              </w:rPr>
              <w:t>r</w:t>
            </w:r>
            <w:r w:rsidRPr="00DA4A05">
              <w:rPr>
                <w:rFonts w:ascii="Arial" w:eastAsia="Zapf Dingbats" w:hAnsi="Arial" w:cs="Arial"/>
                <w:strike/>
                <w:sz w:val="22"/>
                <w:szCs w:val="22"/>
              </w:rPr>
              <w:t>beitung</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lastRenderedPageBreak/>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Schriftliche Weisungen des Auftragg</w:t>
            </w:r>
            <w:r w:rsidRPr="00DA4A05">
              <w:rPr>
                <w:rFonts w:ascii="Arial" w:eastAsia="Zapf Dingbats" w:hAnsi="Arial" w:cs="Arial"/>
                <w:sz w:val="22"/>
                <w:szCs w:val="22"/>
              </w:rPr>
              <w:t>e</w:t>
            </w:r>
            <w:r w:rsidRPr="00DA4A05">
              <w:rPr>
                <w:rFonts w:ascii="Arial" w:eastAsia="Zapf Dingbats" w:hAnsi="Arial" w:cs="Arial"/>
                <w:sz w:val="22"/>
                <w:szCs w:val="22"/>
              </w:rPr>
              <w:t xml:space="preserve">bers an den Auftragnehmer nach § 11 Abs. 2 BDSG (z.B. durch </w:t>
            </w:r>
            <w:r>
              <w:rPr>
                <w:rFonts w:ascii="Arial" w:eastAsia="Zapf Dingbats" w:hAnsi="Arial" w:cs="Arial"/>
                <w:sz w:val="22"/>
                <w:szCs w:val="22"/>
              </w:rPr>
              <w:t>Vertrag</w:t>
            </w:r>
            <w:r w:rsidRPr="00DA4A05">
              <w:rPr>
                <w:rFonts w:ascii="Arial" w:eastAsia="Zapf Dingbats" w:hAnsi="Arial" w:cs="Arial"/>
                <w:sz w:val="22"/>
                <w:szCs w:val="22"/>
              </w:rPr>
              <w:t xml:space="preserve">  der Datenverarbeitung im Auftrag)</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Schriftliche Weisungen des Auftragne</w:t>
            </w:r>
            <w:r w:rsidRPr="00DA4A05">
              <w:rPr>
                <w:rFonts w:ascii="Arial" w:eastAsia="Zapf Dingbats" w:hAnsi="Arial" w:cs="Arial"/>
                <w:strike/>
                <w:sz w:val="22"/>
                <w:szCs w:val="22"/>
              </w:rPr>
              <w:t>h</w:t>
            </w:r>
            <w:r w:rsidRPr="00DA4A05">
              <w:rPr>
                <w:rFonts w:ascii="Arial" w:eastAsia="Zapf Dingbats" w:hAnsi="Arial" w:cs="Arial"/>
                <w:strike/>
                <w:sz w:val="22"/>
                <w:szCs w:val="22"/>
              </w:rPr>
              <w:t xml:space="preserve">mers an den Unterauftragnehmer nach § 11 Abs. 2 BDSG (z.B. durch </w:t>
            </w:r>
            <w:r>
              <w:rPr>
                <w:rFonts w:ascii="Arial" w:eastAsia="Zapf Dingbats" w:hAnsi="Arial" w:cs="Arial"/>
                <w:strike/>
                <w:sz w:val="22"/>
                <w:szCs w:val="22"/>
              </w:rPr>
              <w:t>Vertrag</w:t>
            </w:r>
            <w:r w:rsidRPr="00DA4A05">
              <w:rPr>
                <w:rFonts w:ascii="Arial" w:eastAsia="Zapf Dingbats" w:hAnsi="Arial" w:cs="Arial"/>
                <w:strike/>
                <w:sz w:val="22"/>
                <w:szCs w:val="22"/>
              </w:rPr>
              <w:t xml:space="preserve">  der Datenverarbeitung im Auftrag)</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trike/>
                <w:sz w:val="22"/>
                <w:szCs w:val="22"/>
              </w:rPr>
              <w:t>Vertragsstrafen bei Verstößen mit dem Auftragnehmer vereinbart</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Vertragsstrafen bei Verstößen mit dem Unterauftragnehmer vereinbart</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z w:val="22"/>
                <w:szCs w:val="22"/>
              </w:rPr>
              <w:t>Wirksame Kontrollrechte des Auftragg</w:t>
            </w:r>
            <w:r w:rsidRPr="00DA4A05">
              <w:rPr>
                <w:rFonts w:ascii="Arial" w:eastAsia="Zapf Dingbats" w:hAnsi="Arial" w:cs="Arial"/>
                <w:sz w:val="22"/>
                <w:szCs w:val="22"/>
              </w:rPr>
              <w:t>e</w:t>
            </w:r>
            <w:r w:rsidRPr="00DA4A05">
              <w:rPr>
                <w:rFonts w:ascii="Arial" w:eastAsia="Zapf Dingbats" w:hAnsi="Arial" w:cs="Arial"/>
                <w:sz w:val="22"/>
                <w:szCs w:val="22"/>
              </w:rPr>
              <w:t>bers gegenüber dem Auftragnehmer vereinbart</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DA4A05">
              <w:rPr>
                <w:rFonts w:ascii="Arial" w:eastAsia="Zapf Dingbats" w:hAnsi="Arial" w:cs="Arial"/>
                <w:strike/>
                <w:sz w:val="22"/>
                <w:szCs w:val="22"/>
              </w:rPr>
              <w:t>Wirksame Kontrollrechte des Auftra</w:t>
            </w:r>
            <w:r w:rsidRPr="00DA4A05">
              <w:rPr>
                <w:rFonts w:ascii="Arial" w:eastAsia="Zapf Dingbats" w:hAnsi="Arial" w:cs="Arial"/>
                <w:strike/>
                <w:sz w:val="22"/>
                <w:szCs w:val="22"/>
              </w:rPr>
              <w:t>g</w:t>
            </w:r>
            <w:r w:rsidRPr="00DA4A05">
              <w:rPr>
                <w:rFonts w:ascii="Arial" w:eastAsia="Zapf Dingbats" w:hAnsi="Arial" w:cs="Arial"/>
                <w:strike/>
                <w:sz w:val="22"/>
                <w:szCs w:val="22"/>
              </w:rPr>
              <w:t>nehmers gegenüber dem Unterauftra</w:t>
            </w:r>
            <w:r w:rsidRPr="00DA4A05">
              <w:rPr>
                <w:rFonts w:ascii="Arial" w:eastAsia="Zapf Dingbats" w:hAnsi="Arial" w:cs="Arial"/>
                <w:strike/>
                <w:sz w:val="22"/>
                <w:szCs w:val="22"/>
              </w:rPr>
              <w:t>g</w:t>
            </w:r>
            <w:r w:rsidRPr="00DA4A05">
              <w:rPr>
                <w:rFonts w:ascii="Arial" w:eastAsia="Zapf Dingbats" w:hAnsi="Arial" w:cs="Arial"/>
                <w:strike/>
                <w:sz w:val="22"/>
                <w:szCs w:val="22"/>
              </w:rPr>
              <w:t>nehmer vereinbart</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60" w:type="pct"/>
            <w:tcBorders>
              <w:right w:val="dashSmallGap"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Sicherstellung der Vernichtung von Daten durch Auftraggeber und Auftra</w:t>
            </w:r>
            <w:r w:rsidRPr="00DA4A05">
              <w:rPr>
                <w:rFonts w:ascii="Arial" w:eastAsia="Zapf Dingbats" w:hAnsi="Arial" w:cs="Arial"/>
                <w:sz w:val="22"/>
                <w:szCs w:val="22"/>
              </w:rPr>
              <w:t>g</w:t>
            </w:r>
            <w:r w:rsidRPr="00DA4A05">
              <w:rPr>
                <w:rFonts w:ascii="Arial" w:eastAsia="Zapf Dingbats" w:hAnsi="Arial" w:cs="Arial"/>
                <w:sz w:val="22"/>
                <w:szCs w:val="22"/>
              </w:rPr>
              <w:t>nehmer nach Beendigung des Auftrags</w:t>
            </w:r>
          </w:p>
        </w:tc>
        <w:tc>
          <w:tcPr>
            <w:tcW w:w="239" w:type="pct"/>
            <w:tcBorders>
              <w:left w:val="dashSmallGap"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2255" w:type="pct"/>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Sicherstellung der Vernichtung von D</w:t>
            </w:r>
            <w:r w:rsidRPr="00DA4A05">
              <w:rPr>
                <w:rFonts w:ascii="Arial" w:eastAsia="Zapf Dingbats" w:hAnsi="Arial" w:cs="Arial"/>
                <w:sz w:val="22"/>
                <w:szCs w:val="22"/>
              </w:rPr>
              <w:t>a</w:t>
            </w:r>
            <w:r w:rsidRPr="00DA4A05">
              <w:rPr>
                <w:rFonts w:ascii="Arial" w:eastAsia="Zapf Dingbats" w:hAnsi="Arial" w:cs="Arial"/>
                <w:sz w:val="22"/>
                <w:szCs w:val="22"/>
              </w:rPr>
              <w:t>ten durch Auftragnehmer und Unterau</w:t>
            </w:r>
            <w:r w:rsidRPr="00DA4A05">
              <w:rPr>
                <w:rFonts w:ascii="Arial" w:eastAsia="Zapf Dingbats" w:hAnsi="Arial" w:cs="Arial"/>
                <w:sz w:val="22"/>
                <w:szCs w:val="22"/>
              </w:rPr>
              <w:t>f</w:t>
            </w:r>
            <w:r w:rsidRPr="00DA4A05">
              <w:rPr>
                <w:rFonts w:ascii="Arial" w:eastAsia="Zapf Dingbats" w:hAnsi="Arial" w:cs="Arial"/>
                <w:sz w:val="22"/>
                <w:szCs w:val="22"/>
              </w:rPr>
              <w:t>tragnehmer nach Beendigung des Au</w:t>
            </w:r>
            <w:r w:rsidRPr="00DA4A05">
              <w:rPr>
                <w:rFonts w:ascii="Arial" w:eastAsia="Zapf Dingbats" w:hAnsi="Arial" w:cs="Arial"/>
                <w:sz w:val="22"/>
                <w:szCs w:val="22"/>
              </w:rPr>
              <w:t>f</w:t>
            </w:r>
            <w:r w:rsidRPr="00DA4A05">
              <w:rPr>
                <w:rFonts w:ascii="Arial" w:eastAsia="Zapf Dingbats" w:hAnsi="Arial" w:cs="Arial"/>
                <w:sz w:val="22"/>
                <w:szCs w:val="22"/>
              </w:rPr>
              <w:t>trags</w:t>
            </w:r>
            <w:r>
              <w:rPr>
                <w:rFonts w:ascii="Arial" w:eastAsia="Zapf Dingbats" w:hAnsi="Arial" w:cs="Arial"/>
                <w:sz w:val="22"/>
                <w:szCs w:val="22"/>
              </w:rPr>
              <w:t xml:space="preserve"> gemäß schriftlicher Weisung des Auftraggebers</w:t>
            </w:r>
          </w:p>
        </w:tc>
      </w:tr>
      <w:tr w:rsidR="00D27F38" w:rsidRPr="00DA4A05" w:rsidTr="00660E62">
        <w:trPr>
          <w:cantSplit/>
          <w:trHeight w:val="220"/>
        </w:trPr>
        <w:tc>
          <w:tcPr>
            <w:tcW w:w="246" w:type="pct"/>
            <w:tcBorders>
              <w:left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4754" w:type="pct"/>
            <w:gridSpan w:val="3"/>
            <w:tcBorders>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Vertrag</w:t>
            </w:r>
            <w:r w:rsidRPr="00DA4A05">
              <w:rPr>
                <w:rFonts w:ascii="Arial" w:eastAsia="Zapf Dingbats" w:hAnsi="Arial" w:cs="Arial"/>
                <w:sz w:val="22"/>
                <w:szCs w:val="22"/>
              </w:rPr>
              <w:t xml:space="preserve"> zwischen Auftraggeber und Auftragnehmer zum Einsatz von Unterauftragne</w:t>
            </w:r>
            <w:r w:rsidRPr="00DA4A05">
              <w:rPr>
                <w:rFonts w:ascii="Arial" w:eastAsia="Zapf Dingbats" w:hAnsi="Arial" w:cs="Arial"/>
                <w:sz w:val="22"/>
                <w:szCs w:val="22"/>
              </w:rPr>
              <w:t>h</w:t>
            </w:r>
            <w:r w:rsidRPr="00DA4A05">
              <w:rPr>
                <w:rFonts w:ascii="Arial" w:eastAsia="Zapf Dingbats" w:hAnsi="Arial" w:cs="Arial"/>
                <w:sz w:val="22"/>
                <w:szCs w:val="22"/>
              </w:rPr>
              <w:t>mern beim Auftragnehmer</w:t>
            </w:r>
          </w:p>
        </w:tc>
      </w:tr>
      <w:tr w:rsidR="00D27F38" w:rsidRPr="00DA4A05" w:rsidTr="00660E62">
        <w:trPr>
          <w:cantSplit/>
          <w:trHeight w:val="220"/>
        </w:trPr>
        <w:tc>
          <w:tcPr>
            <w:tcW w:w="246" w:type="pct"/>
            <w:tcBorders>
              <w:left w:val="single" w:sz="4" w:space="0" w:color="auto"/>
              <w:bottom w:val="single" w:sz="4" w:space="0" w:color="auto"/>
            </w:tcBorders>
            <w:shd w:val="clear" w:color="auto" w:fill="FFFFFF"/>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MS Gothic" w:eastAsia="MS Gothic" w:hAnsi="MS Gothic" w:cs="MS Gothic" w:hint="eastAsia"/>
                <w:sz w:val="22"/>
                <w:szCs w:val="22"/>
              </w:rPr>
              <w:t>☒</w:t>
            </w:r>
          </w:p>
        </w:tc>
        <w:tc>
          <w:tcPr>
            <w:tcW w:w="4754" w:type="pct"/>
            <w:gridSpan w:val="3"/>
            <w:tcBorders>
              <w:bottom w:val="single" w:sz="4" w:space="0" w:color="auto"/>
              <w:right w:val="single" w:sz="4" w:space="0" w:color="auto"/>
            </w:tcBorders>
            <w:shd w:val="clear" w:color="auto" w:fill="FFFFFF"/>
            <w:tcMar>
              <w:top w:w="100" w:type="dxa"/>
              <w:left w:w="100" w:type="dxa"/>
              <w:bottom w:w="100" w:type="dxa"/>
              <w:right w:w="100" w:type="dxa"/>
            </w:tcMar>
          </w:tcPr>
          <w:p w:rsidR="00D27F38" w:rsidRPr="00DA4A05"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DA4A05">
              <w:rPr>
                <w:rFonts w:ascii="Arial" w:eastAsia="Zapf Dingbats" w:hAnsi="Arial" w:cs="Arial"/>
                <w:sz w:val="22"/>
                <w:szCs w:val="22"/>
              </w:rPr>
              <w:t>sonstiges: Weitere Maßnahmen zur Auftragsko</w:t>
            </w:r>
            <w:r>
              <w:rPr>
                <w:rFonts w:ascii="Arial" w:eastAsia="Zapf Dingbats" w:hAnsi="Arial" w:cs="Arial"/>
                <w:sz w:val="22"/>
                <w:szCs w:val="22"/>
              </w:rPr>
              <w:t xml:space="preserve">ntrolle siehe Eingabekontrolle. </w:t>
            </w:r>
            <w:r w:rsidRPr="00DA4A05">
              <w:rPr>
                <w:rFonts w:ascii="Arial" w:eastAsia="Zapf Dingbats" w:hAnsi="Arial" w:cs="Arial"/>
                <w:sz w:val="22"/>
                <w:szCs w:val="22"/>
              </w:rPr>
              <w:t xml:space="preserve">Soweit </w:t>
            </w:r>
            <w:r>
              <w:rPr>
                <w:rFonts w:ascii="Arial" w:eastAsia="Zapf Dingbats" w:hAnsi="Arial" w:cs="Arial"/>
                <w:sz w:val="22"/>
                <w:szCs w:val="22"/>
              </w:rPr>
              <w:t>zwischen Auftraggeber und Auftragnehmer</w:t>
            </w:r>
            <w:r w:rsidRPr="00DA4A05">
              <w:rPr>
                <w:rFonts w:ascii="Arial" w:eastAsia="Zapf Dingbats" w:hAnsi="Arial" w:cs="Arial"/>
                <w:sz w:val="22"/>
                <w:szCs w:val="22"/>
              </w:rPr>
              <w:t xml:space="preserve"> </w:t>
            </w:r>
            <w:r>
              <w:rPr>
                <w:rFonts w:ascii="Arial" w:eastAsia="Zapf Dingbats" w:hAnsi="Arial" w:cs="Arial"/>
                <w:sz w:val="22"/>
                <w:szCs w:val="22"/>
              </w:rPr>
              <w:t xml:space="preserve">vertraglich </w:t>
            </w:r>
            <w:r w:rsidRPr="00DA4A05">
              <w:rPr>
                <w:rFonts w:ascii="Arial" w:eastAsia="Zapf Dingbats" w:hAnsi="Arial" w:cs="Arial"/>
                <w:sz w:val="22"/>
                <w:szCs w:val="22"/>
              </w:rPr>
              <w:t>nicht anders vereinbart, bedarf der Einsatz von Unterauftragnehmern zur Ausführung der vom Auftraggeber an den Auftragnehmer übergebenen Arbeiten, der schriftlichen Zustimmung des Auftraggebers. Es wird auf den diese</w:t>
            </w:r>
            <w:r>
              <w:rPr>
                <w:rFonts w:ascii="Arial" w:eastAsia="Zapf Dingbats" w:hAnsi="Arial" w:cs="Arial"/>
                <w:sz w:val="22"/>
                <w:szCs w:val="22"/>
              </w:rPr>
              <w:t>m</w:t>
            </w:r>
            <w:r w:rsidRPr="00DA4A05">
              <w:rPr>
                <w:rFonts w:ascii="Arial" w:eastAsia="Zapf Dingbats" w:hAnsi="Arial" w:cs="Arial"/>
                <w:sz w:val="22"/>
                <w:szCs w:val="22"/>
              </w:rPr>
              <w:t xml:space="preserve"> </w:t>
            </w:r>
            <w:r>
              <w:rPr>
                <w:rFonts w:ascii="Arial" w:eastAsia="Zapf Dingbats" w:hAnsi="Arial" w:cs="Arial"/>
                <w:sz w:val="22"/>
                <w:szCs w:val="22"/>
              </w:rPr>
              <w:t>Vertrag</w:t>
            </w:r>
            <w:r w:rsidRPr="00DA4A05">
              <w:rPr>
                <w:rFonts w:ascii="Arial" w:eastAsia="Zapf Dingbats" w:hAnsi="Arial" w:cs="Arial"/>
                <w:sz w:val="22"/>
                <w:szCs w:val="22"/>
              </w:rPr>
              <w:t xml:space="preserve"> zugrundeliegenden Dienstleistungsvertrag zwischen Auftraggeber und Auftragnehmer verwiesen.</w:t>
            </w:r>
          </w:p>
        </w:tc>
      </w:tr>
    </w:tbl>
    <w:p w:rsidR="00D27F38" w:rsidRDefault="00D27F38" w:rsidP="00D27F38"/>
    <w:p w:rsidR="00D27F38" w:rsidRDefault="00D27F38" w:rsidP="00D27F38"/>
    <w:p w:rsidR="00D27F38" w:rsidRPr="00AF58A3" w:rsidRDefault="00D27F38" w:rsidP="00D27F38">
      <w:pPr>
        <w:pStyle w:val="Listenabsatz"/>
        <w:numPr>
          <w:ilvl w:val="0"/>
          <w:numId w:val="1"/>
        </w:numPr>
        <w:jc w:val="both"/>
        <w:rPr>
          <w:rFonts w:cs="Arial"/>
          <w:b/>
          <w:sz w:val="24"/>
        </w:rPr>
      </w:pPr>
      <w:r w:rsidRPr="00AF58A3">
        <w:rPr>
          <w:rFonts w:cs="Arial"/>
          <w:b/>
          <w:sz w:val="24"/>
        </w:rPr>
        <w:t>Verfügbarkeit</w:t>
      </w:r>
    </w:p>
    <w:p w:rsidR="00D27F38" w:rsidRDefault="00D27F38" w:rsidP="00D27F38"/>
    <w:p w:rsidR="00D27F38" w:rsidRDefault="00D27F38" w:rsidP="00D27F38">
      <w:r w:rsidRPr="00AF58A3">
        <w:t>Maßnahmen, die gewährleisten, dass personenbez</w:t>
      </w:r>
      <w:r>
        <w:t>ogene Daten zeitgerecht zur Ver</w:t>
      </w:r>
      <w:r w:rsidRPr="00AF58A3">
        <w:t>fügung stehen und ordnungsgemäß verarbeitet werden können.</w:t>
      </w:r>
    </w:p>
    <w:p w:rsidR="00D27F38" w:rsidRDefault="00D27F38" w:rsidP="00D27F38"/>
    <w:p w:rsidR="00D27F38" w:rsidRDefault="00D27F38" w:rsidP="00D27F38">
      <w:r>
        <w:t>Siehe 1) a) – c) und 2) b) – c).</w:t>
      </w:r>
    </w:p>
    <w:p w:rsidR="00D27F38" w:rsidRDefault="00D27F38" w:rsidP="00D27F38"/>
    <w:p w:rsidR="00D27F38" w:rsidRPr="00AF58A3" w:rsidRDefault="00D27F38" w:rsidP="00D27F38">
      <w:pPr>
        <w:pStyle w:val="Listenabsatz"/>
        <w:numPr>
          <w:ilvl w:val="0"/>
          <w:numId w:val="1"/>
        </w:numPr>
        <w:jc w:val="both"/>
        <w:rPr>
          <w:rFonts w:cs="Arial"/>
          <w:b/>
          <w:sz w:val="24"/>
        </w:rPr>
      </w:pPr>
      <w:r w:rsidRPr="00AF58A3">
        <w:rPr>
          <w:rFonts w:cs="Arial"/>
          <w:b/>
          <w:sz w:val="24"/>
        </w:rPr>
        <w:t>Authentizität</w:t>
      </w:r>
    </w:p>
    <w:p w:rsidR="00D27F38" w:rsidRDefault="00D27F38" w:rsidP="00D27F38"/>
    <w:p w:rsidR="00D27F38" w:rsidRDefault="00D27F38" w:rsidP="00D27F38">
      <w:r w:rsidRPr="00FB3F51">
        <w:t>Maßnahmen, die gewährleisten, dass personenbe</w:t>
      </w:r>
      <w:r>
        <w:t>zogene Daten jederzeit ihrem Ur</w:t>
      </w:r>
      <w:r w:rsidRPr="00FB3F51">
        <w:t>sprung zugeordnet werden können.</w:t>
      </w:r>
    </w:p>
    <w:p w:rsidR="00D27F38" w:rsidRDefault="00D27F38" w:rsidP="00D27F38"/>
    <w:p w:rsidR="00D27F38" w:rsidRPr="00FB3F51" w:rsidRDefault="00D27F38" w:rsidP="00D27F38">
      <w:pPr>
        <w:pStyle w:val="Listenabsatz"/>
        <w:numPr>
          <w:ilvl w:val="1"/>
          <w:numId w:val="1"/>
        </w:numPr>
        <w:ind w:left="426" w:hanging="426"/>
        <w:jc w:val="both"/>
        <w:rPr>
          <w:rFonts w:cs="Arial"/>
          <w:b/>
          <w:sz w:val="24"/>
        </w:rPr>
      </w:pPr>
      <w:r w:rsidRPr="00FB3F51">
        <w:rPr>
          <w:rFonts w:cs="Arial"/>
          <w:b/>
          <w:sz w:val="24"/>
        </w:rPr>
        <w:t>Trennungskontrolle</w:t>
      </w:r>
    </w:p>
    <w:p w:rsidR="00D27F38" w:rsidRPr="00D425CE" w:rsidRDefault="00D27F38" w:rsidP="00D27F38"/>
    <w:p w:rsidR="00D27F38" w:rsidRDefault="00D27F38" w:rsidP="00D27F38">
      <w:r w:rsidRPr="00D425CE">
        <w:t xml:space="preserve">Maßnahmen, die gewährleisten, dass zu unterschiedlichen Zwecken erhobene Daten getrennt verarbeitet werden können. Folgende Maßnahmen sind beim Auftragnehmer </w:t>
      </w:r>
      <w:r w:rsidRPr="00FB3F51">
        <w:rPr>
          <w:u w:val="single"/>
        </w:rPr>
        <w:t>zusät</w:t>
      </w:r>
      <w:r w:rsidRPr="00FB3F51">
        <w:rPr>
          <w:u w:val="single"/>
        </w:rPr>
        <w:t>z</w:t>
      </w:r>
      <w:r w:rsidRPr="00FB3F51">
        <w:rPr>
          <w:u w:val="single"/>
        </w:rPr>
        <w:t>lich</w:t>
      </w:r>
      <w:r w:rsidRPr="00D425CE">
        <w:t xml:space="preserve"> zu den vorgenannten Kontrollen umgesetzt:</w:t>
      </w:r>
    </w:p>
    <w:p w:rsidR="00D27F38" w:rsidRPr="00D425CE" w:rsidRDefault="00D27F38" w:rsidP="00D27F38"/>
    <w:tbl>
      <w:tblPr>
        <w:tblW w:w="473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4157"/>
        <w:gridCol w:w="436"/>
        <w:gridCol w:w="3767"/>
      </w:tblGrid>
      <w:tr w:rsidR="00D27F38" w:rsidRPr="00BC4C24" w:rsidTr="00660E62">
        <w:trPr>
          <w:cantSplit/>
          <w:trHeight w:val="220"/>
        </w:trPr>
        <w:tc>
          <w:tcPr>
            <w:tcW w:w="198"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380"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 xml:space="preserve">Bei </w:t>
            </w:r>
            <w:proofErr w:type="spellStart"/>
            <w:r w:rsidRPr="00BC4C24">
              <w:rPr>
                <w:rFonts w:ascii="Arial" w:eastAsia="Zapf Dingbats" w:hAnsi="Arial" w:cs="Arial"/>
                <w:sz w:val="22"/>
                <w:szCs w:val="22"/>
              </w:rPr>
              <w:t>pseudonymisierten</w:t>
            </w:r>
            <w:proofErr w:type="spellEnd"/>
            <w:r w:rsidRPr="00BC4C24">
              <w:rPr>
                <w:rFonts w:ascii="Arial" w:eastAsia="Zapf Dingbats" w:hAnsi="Arial" w:cs="Arial"/>
                <w:sz w:val="22"/>
                <w:szCs w:val="22"/>
              </w:rPr>
              <w:t xml:space="preserve"> Daten: Trennung der Zuordnungsdatei und der Aufbewa</w:t>
            </w:r>
            <w:r w:rsidRPr="00BC4C24">
              <w:rPr>
                <w:rFonts w:ascii="Arial" w:eastAsia="Zapf Dingbats" w:hAnsi="Arial" w:cs="Arial"/>
                <w:sz w:val="22"/>
                <w:szCs w:val="22"/>
              </w:rPr>
              <w:t>h</w:t>
            </w:r>
            <w:r w:rsidRPr="00BC4C24">
              <w:rPr>
                <w:rFonts w:ascii="Arial" w:eastAsia="Zapf Dingbats" w:hAnsi="Arial" w:cs="Arial"/>
                <w:sz w:val="22"/>
                <w:szCs w:val="22"/>
              </w:rPr>
              <w:t>rung auf einem getrennten, abgesiche</w:t>
            </w:r>
            <w:r w:rsidRPr="00BC4C24">
              <w:rPr>
                <w:rFonts w:ascii="Arial" w:eastAsia="Zapf Dingbats" w:hAnsi="Arial" w:cs="Arial"/>
                <w:sz w:val="22"/>
                <w:szCs w:val="22"/>
              </w:rPr>
              <w:t>r</w:t>
            </w:r>
            <w:r w:rsidRPr="00BC4C24">
              <w:rPr>
                <w:rFonts w:ascii="Arial" w:eastAsia="Zapf Dingbats" w:hAnsi="Arial" w:cs="Arial"/>
                <w:sz w:val="22"/>
                <w:szCs w:val="22"/>
              </w:rPr>
              <w:t>ten IT-System</w:t>
            </w:r>
          </w:p>
        </w:tc>
        <w:tc>
          <w:tcPr>
            <w:tcW w:w="25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Physikalisch getrennte Speicherung auf gesonderten Systemen oder Datenträgern</w:t>
            </w:r>
          </w:p>
        </w:tc>
      </w:tr>
      <w:tr w:rsidR="00D27F38" w:rsidRPr="00BC4C24" w:rsidTr="00660E62">
        <w:trPr>
          <w:cantSplit/>
          <w:trHeight w:val="220"/>
        </w:trPr>
        <w:tc>
          <w:tcPr>
            <w:tcW w:w="198"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380"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Festlegung von Datenbankrechten</w:t>
            </w:r>
          </w:p>
        </w:tc>
        <w:tc>
          <w:tcPr>
            <w:tcW w:w="25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trike/>
                <w:sz w:val="22"/>
                <w:szCs w:val="22"/>
              </w:rPr>
            </w:pPr>
            <w:r w:rsidRPr="00BC4C24">
              <w:rPr>
                <w:rFonts w:ascii="Arial" w:eastAsia="Zapf Dingbats" w:hAnsi="Arial" w:cs="Arial"/>
                <w:strike/>
                <w:sz w:val="22"/>
                <w:szCs w:val="22"/>
              </w:rPr>
              <w:t>Versehen der Datensätze mit Zweckattributen/Datenfeldern</w:t>
            </w:r>
            <w:r w:rsidRPr="00BC4C24">
              <w:rPr>
                <w:rFonts w:ascii="Arial" w:eastAsia="Zapf Dingbats" w:hAnsi="Arial" w:cs="Arial"/>
                <w:sz w:val="22"/>
                <w:szCs w:val="22"/>
                <w:vertAlign w:val="superscript"/>
              </w:rPr>
              <w:t>*</w:t>
            </w:r>
          </w:p>
        </w:tc>
      </w:tr>
      <w:tr w:rsidR="00D27F38" w:rsidRPr="00BC4C24" w:rsidTr="00660E62">
        <w:trPr>
          <w:cantSplit/>
          <w:trHeight w:val="220"/>
        </w:trPr>
        <w:tc>
          <w:tcPr>
            <w:tcW w:w="198"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lastRenderedPageBreak/>
              <w:t>☒</w:t>
            </w:r>
          </w:p>
        </w:tc>
        <w:tc>
          <w:tcPr>
            <w:tcW w:w="2380"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Logische Mandantentrennung (software-seitig)</w:t>
            </w:r>
            <w:r>
              <w:rPr>
                <w:rFonts w:ascii="Arial" w:eastAsia="Zapf Dingbats" w:hAnsi="Arial" w:cs="Arial"/>
                <w:sz w:val="22"/>
                <w:szCs w:val="22"/>
                <w:vertAlign w:val="superscript"/>
              </w:rPr>
              <w:t xml:space="preserve"> </w:t>
            </w:r>
          </w:p>
        </w:tc>
        <w:tc>
          <w:tcPr>
            <w:tcW w:w="259"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2163" w:type="pct"/>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Arial" w:eastAsia="Zapf Dingbats" w:hAnsi="Arial" w:cs="Arial"/>
                <w:sz w:val="22"/>
                <w:szCs w:val="22"/>
              </w:rPr>
              <w:t>Trennung von Produktiv- und Tes</w:t>
            </w:r>
            <w:r w:rsidRPr="00BC4C24">
              <w:rPr>
                <w:rFonts w:ascii="Arial" w:eastAsia="Zapf Dingbats" w:hAnsi="Arial" w:cs="Arial"/>
                <w:sz w:val="22"/>
                <w:szCs w:val="22"/>
              </w:rPr>
              <w:t>t</w:t>
            </w:r>
            <w:r w:rsidRPr="00BC4C24">
              <w:rPr>
                <w:rFonts w:ascii="Arial" w:eastAsia="Zapf Dingbats" w:hAnsi="Arial" w:cs="Arial"/>
                <w:sz w:val="22"/>
                <w:szCs w:val="22"/>
              </w:rPr>
              <w:t>system</w:t>
            </w:r>
          </w:p>
        </w:tc>
      </w:tr>
      <w:tr w:rsidR="00D27F38" w:rsidRPr="00BC4C24" w:rsidTr="00660E62">
        <w:trPr>
          <w:cantSplit/>
          <w:trHeight w:val="220"/>
        </w:trPr>
        <w:tc>
          <w:tcPr>
            <w:tcW w:w="198" w:type="pct"/>
            <w:shd w:val="clear" w:color="auto" w:fill="auto"/>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sidRPr="00BC4C24">
              <w:rPr>
                <w:rFonts w:ascii="MS Gothic" w:eastAsia="MS Gothic" w:hAnsi="MS Gothic" w:cs="MS Gothic" w:hint="eastAsia"/>
                <w:sz w:val="22"/>
                <w:szCs w:val="22"/>
              </w:rPr>
              <w:t>☒</w:t>
            </w:r>
          </w:p>
        </w:tc>
        <w:tc>
          <w:tcPr>
            <w:tcW w:w="4802" w:type="pct"/>
            <w:gridSpan w:val="3"/>
            <w:shd w:val="clear" w:color="auto" w:fill="auto"/>
            <w:tcMar>
              <w:top w:w="100" w:type="dxa"/>
              <w:left w:w="100" w:type="dxa"/>
              <w:bottom w:w="100" w:type="dxa"/>
              <w:right w:w="100" w:type="dxa"/>
            </w:tcMar>
          </w:tcPr>
          <w:p w:rsidR="00D27F38" w:rsidRPr="00BC4C24" w:rsidRDefault="00D27F38" w:rsidP="00660E6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2"/>
                <w:szCs w:val="22"/>
              </w:rPr>
            </w:pPr>
            <w:r>
              <w:rPr>
                <w:rFonts w:ascii="Arial" w:eastAsia="Zapf Dingbats" w:hAnsi="Arial" w:cs="Arial"/>
                <w:sz w:val="22"/>
                <w:szCs w:val="22"/>
              </w:rPr>
              <w:t>sonstiges: s</w:t>
            </w:r>
            <w:r w:rsidRPr="00FE0BF5">
              <w:rPr>
                <w:rFonts w:ascii="Arial" w:eastAsia="Zapf Dingbats" w:hAnsi="Arial" w:cs="Arial"/>
                <w:sz w:val="22"/>
                <w:szCs w:val="22"/>
              </w:rPr>
              <w:t xml:space="preserve">iehe </w:t>
            </w:r>
            <w:r>
              <w:rPr>
                <w:rFonts w:ascii="Arial" w:eastAsia="Zapf Dingbats" w:hAnsi="Arial" w:cs="Arial"/>
                <w:sz w:val="22"/>
                <w:szCs w:val="22"/>
              </w:rPr>
              <w:t>2) a)</w:t>
            </w:r>
            <w:r w:rsidRPr="00FE0BF5">
              <w:rPr>
                <w:rFonts w:ascii="Arial" w:eastAsia="Zapf Dingbats" w:hAnsi="Arial" w:cs="Arial"/>
                <w:sz w:val="22"/>
                <w:szCs w:val="22"/>
              </w:rPr>
              <w:t xml:space="preserve"> Eingabekontrolle. Die Trennungskontrolle ob</w:t>
            </w:r>
            <w:r>
              <w:rPr>
                <w:rFonts w:ascii="Arial" w:eastAsia="Zapf Dingbats" w:hAnsi="Arial" w:cs="Arial"/>
                <w:sz w:val="22"/>
                <w:szCs w:val="22"/>
              </w:rPr>
              <w:t>liegt der Maßg</w:t>
            </w:r>
            <w:r>
              <w:rPr>
                <w:rFonts w:ascii="Arial" w:eastAsia="Zapf Dingbats" w:hAnsi="Arial" w:cs="Arial"/>
                <w:sz w:val="22"/>
                <w:szCs w:val="22"/>
              </w:rPr>
              <w:t>a</w:t>
            </w:r>
            <w:r>
              <w:rPr>
                <w:rFonts w:ascii="Arial" w:eastAsia="Zapf Dingbats" w:hAnsi="Arial" w:cs="Arial"/>
                <w:sz w:val="22"/>
                <w:szCs w:val="22"/>
              </w:rPr>
              <w:t>be des Auftragge</w:t>
            </w:r>
            <w:r w:rsidRPr="00FE0BF5">
              <w:rPr>
                <w:rFonts w:ascii="Arial" w:eastAsia="Zapf Dingbats" w:hAnsi="Arial" w:cs="Arial"/>
                <w:sz w:val="22"/>
                <w:szCs w:val="22"/>
              </w:rPr>
              <w:t>bers. Wurde mit dem Auftraggeber nicht anderes vereinbart, e</w:t>
            </w:r>
            <w:r w:rsidRPr="00FE0BF5">
              <w:rPr>
                <w:rFonts w:ascii="Arial" w:eastAsia="Zapf Dingbats" w:hAnsi="Arial" w:cs="Arial"/>
                <w:sz w:val="22"/>
                <w:szCs w:val="22"/>
              </w:rPr>
              <w:t>r</w:t>
            </w:r>
            <w:r w:rsidRPr="00FE0BF5">
              <w:rPr>
                <w:rFonts w:ascii="Arial" w:eastAsia="Zapf Dingbats" w:hAnsi="Arial" w:cs="Arial"/>
                <w:sz w:val="22"/>
                <w:szCs w:val="22"/>
              </w:rPr>
              <w:t xml:space="preserve">folgt die Datenverarbeitung logisch und physikalisch getrennt. </w:t>
            </w:r>
          </w:p>
        </w:tc>
      </w:tr>
    </w:tbl>
    <w:p w:rsidR="00D27F38" w:rsidRDefault="00D27F38" w:rsidP="00D27F38">
      <w:pPr>
        <w:pStyle w:val="Kopfzeile"/>
        <w:tabs>
          <w:tab w:val="clear" w:pos="4536"/>
          <w:tab w:val="clear" w:pos="9072"/>
        </w:tabs>
        <w:jc w:val="both"/>
      </w:pPr>
    </w:p>
    <w:p w:rsidR="00D27F38" w:rsidRDefault="00D27F38" w:rsidP="00D27F38">
      <w:pPr>
        <w:pStyle w:val="Kopfzeile"/>
        <w:tabs>
          <w:tab w:val="clear" w:pos="4536"/>
          <w:tab w:val="clear" w:pos="9072"/>
        </w:tabs>
        <w:jc w:val="both"/>
      </w:pPr>
    </w:p>
    <w:p w:rsidR="00D27F38" w:rsidRDefault="00D27F38" w:rsidP="00D27F38">
      <w:pPr>
        <w:pStyle w:val="Listenabsatz"/>
        <w:numPr>
          <w:ilvl w:val="0"/>
          <w:numId w:val="1"/>
        </w:numPr>
        <w:jc w:val="both"/>
        <w:rPr>
          <w:rFonts w:cs="Arial"/>
          <w:b/>
          <w:sz w:val="24"/>
        </w:rPr>
      </w:pPr>
      <w:r w:rsidRPr="00FB3F51">
        <w:rPr>
          <w:rFonts w:cs="Arial"/>
          <w:b/>
          <w:sz w:val="24"/>
        </w:rPr>
        <w:t>Revisionsfähigkeit</w:t>
      </w:r>
    </w:p>
    <w:p w:rsidR="00D27F38" w:rsidRPr="00FB3F51" w:rsidRDefault="00D27F38" w:rsidP="00D27F38"/>
    <w:p w:rsidR="00D27F38" w:rsidRDefault="00D27F38" w:rsidP="00D27F38">
      <w:pPr>
        <w:rPr>
          <w:rFonts w:eastAsia="Calibri"/>
        </w:rPr>
      </w:pPr>
      <w:r w:rsidRPr="00FB3F51">
        <w:rPr>
          <w:rFonts w:eastAsia="Calibri"/>
        </w:rPr>
        <w:t>Maßnahmen, die gewährleisten, dass festgestellt werden kann, wer wann welche persone</w:t>
      </w:r>
      <w:r w:rsidRPr="00FB3F51">
        <w:rPr>
          <w:rFonts w:eastAsia="Calibri"/>
        </w:rPr>
        <w:t>n</w:t>
      </w:r>
      <w:r w:rsidRPr="00FB3F51">
        <w:rPr>
          <w:rFonts w:eastAsia="Calibri"/>
        </w:rPr>
        <w:t>bezogenen Daten in welcher Weise verarbeitet hat.</w:t>
      </w:r>
    </w:p>
    <w:p w:rsidR="00D27F38" w:rsidRPr="00FB3F51" w:rsidRDefault="00D27F38" w:rsidP="00D27F38">
      <w:pPr>
        <w:rPr>
          <w:rFonts w:eastAsia="Calibri"/>
        </w:rPr>
      </w:pPr>
    </w:p>
    <w:p w:rsidR="00D27F38" w:rsidRDefault="00D27F38" w:rsidP="00D27F38">
      <w:pPr>
        <w:rPr>
          <w:rFonts w:eastAsia="Calibri"/>
        </w:rPr>
      </w:pPr>
      <w:r>
        <w:rPr>
          <w:rFonts w:eastAsia="Calibri"/>
        </w:rPr>
        <w:t>Siehe 2) a) – c) und 4) a).</w:t>
      </w:r>
    </w:p>
    <w:p w:rsidR="00D27F38" w:rsidRDefault="00D27F38" w:rsidP="00D27F38">
      <w:pPr>
        <w:rPr>
          <w:rFonts w:eastAsia="Calibri"/>
        </w:rPr>
      </w:pPr>
    </w:p>
    <w:p w:rsidR="00D27F38" w:rsidRDefault="00D27F38" w:rsidP="00D27F38">
      <w:pPr>
        <w:rPr>
          <w:rFonts w:eastAsia="Calibri"/>
        </w:rPr>
      </w:pPr>
    </w:p>
    <w:p w:rsidR="00D27F38" w:rsidRPr="006D2CF8" w:rsidRDefault="00D27F38" w:rsidP="00D27F38">
      <w:pPr>
        <w:numPr>
          <w:ilvl w:val="0"/>
          <w:numId w:val="1"/>
        </w:numPr>
        <w:rPr>
          <w:rFonts w:eastAsia="Calibri"/>
          <w:b/>
          <w:sz w:val="24"/>
          <w:szCs w:val="24"/>
        </w:rPr>
      </w:pPr>
      <w:r w:rsidRPr="006D2CF8">
        <w:rPr>
          <w:rFonts w:eastAsia="Calibri"/>
          <w:b/>
          <w:sz w:val="24"/>
          <w:szCs w:val="24"/>
        </w:rPr>
        <w:t>Transparenz</w:t>
      </w:r>
    </w:p>
    <w:p w:rsidR="00D27F38" w:rsidRDefault="00D27F38" w:rsidP="00D27F38">
      <w:pPr>
        <w:rPr>
          <w:rFonts w:eastAsia="Calibri"/>
        </w:rPr>
      </w:pPr>
    </w:p>
    <w:p w:rsidR="00D27F38" w:rsidRDefault="00D27F38" w:rsidP="00D27F38">
      <w:pPr>
        <w:rPr>
          <w:rFonts w:eastAsia="Calibri"/>
        </w:rPr>
      </w:pPr>
      <w:r>
        <w:rPr>
          <w:rFonts w:eastAsia="Calibri"/>
        </w:rPr>
        <w:t xml:space="preserve">Maßnahmen, </w:t>
      </w:r>
      <w:r w:rsidRPr="00FB3F51">
        <w:rPr>
          <w:rFonts w:eastAsia="Calibri"/>
        </w:rPr>
        <w:t xml:space="preserve">die gewährleisten, dass </w:t>
      </w:r>
      <w:r>
        <w:rPr>
          <w:rFonts w:eastAsia="Calibri"/>
        </w:rPr>
        <w:t>die Verfahrensweisen bei der Verarbeitung persone</w:t>
      </w:r>
      <w:r>
        <w:rPr>
          <w:rFonts w:eastAsia="Calibri"/>
        </w:rPr>
        <w:t>n</w:t>
      </w:r>
      <w:r>
        <w:rPr>
          <w:rFonts w:eastAsia="Calibri"/>
        </w:rPr>
        <w:t>bezogener Daten vollständig, aktuell und in einer Weise dokumentiert sind, dass sie in z</w:t>
      </w:r>
      <w:r>
        <w:rPr>
          <w:rFonts w:eastAsia="Calibri"/>
        </w:rPr>
        <w:t>u</w:t>
      </w:r>
      <w:r>
        <w:rPr>
          <w:rFonts w:eastAsia="Calibri"/>
        </w:rPr>
        <w:t>mutbarer Zeit nachvollzogen werden können.</w:t>
      </w:r>
    </w:p>
    <w:p w:rsidR="00D27F38" w:rsidRPr="00FB3F51" w:rsidRDefault="00D27F38" w:rsidP="00D27F38">
      <w:pPr>
        <w:rPr>
          <w:rFonts w:eastAsia="Calibri"/>
        </w:rPr>
      </w:pPr>
    </w:p>
    <w:p w:rsidR="00402CD1" w:rsidRDefault="00E01C2B"/>
    <w:sectPr w:rsidR="00402CD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eifrau Hiller von Gaertringen, Annette" w:date="2018-11-16T13:43:00Z" w:initials="FHvGA">
    <w:p w:rsidR="00D27F38" w:rsidRDefault="00D27F38" w:rsidP="00D27F38">
      <w:pPr>
        <w:pStyle w:val="Kommentartext"/>
      </w:pPr>
      <w:r>
        <w:rPr>
          <w:rStyle w:val="Kommentarzeichen"/>
        </w:rPr>
        <w:annotationRef/>
      </w:r>
    </w:p>
    <w:p w:rsidR="00D27F38" w:rsidRDefault="00D27F38" w:rsidP="00D27F38">
      <w:pPr>
        <w:pStyle w:val="Kommentartext"/>
      </w:pPr>
      <w:r>
        <w:t>Kann als Vorlage genutzt werden, sollte aber entsprechend um die vorseitig aufgezählten Stichpunkte ergänzt werden</w:t>
      </w:r>
    </w:p>
  </w:comment>
  <w:comment w:id="2" w:author="Freifrau Hiller von Gaertringen, Annette" w:date="2018-11-16T13:43:00Z" w:initials="FHvGA">
    <w:p w:rsidR="00D27F38" w:rsidRDefault="00D27F38" w:rsidP="00D27F38">
      <w:pPr>
        <w:pStyle w:val="Kommentartext"/>
      </w:pPr>
      <w:r>
        <w:rPr>
          <w:rStyle w:val="Kommentarzeichen"/>
        </w:rPr>
        <w:annotationRef/>
      </w:r>
      <w:r>
        <w:t>Ankreuzen, wenn umgesetzt</w:t>
      </w:r>
    </w:p>
  </w:comment>
  <w:comment w:id="3" w:author="Freifrau Hiller von Gaertringen, Annette" w:date="2018-11-16T13:43:00Z" w:initials="FHvGA">
    <w:p w:rsidR="00D27F38" w:rsidRDefault="00D27F38" w:rsidP="00D27F38">
      <w:pPr>
        <w:pStyle w:val="Kommentartext"/>
      </w:pPr>
      <w:r>
        <w:rPr>
          <w:rStyle w:val="Kommentarzeichen"/>
        </w:rPr>
        <w:annotationRef/>
      </w:r>
      <w:r>
        <w:t>Das ist wieder ein Beispiel. Hier einfügen, was an nicht aufgeführten Maßnahmen gegebenenfalls umgesetzt ist bzw. warum einige Maßnahmen gegebene</w:t>
      </w:r>
      <w:r>
        <w:t>n</w:t>
      </w:r>
      <w:r>
        <w:t>falls nicht umgesetzt sind</w:t>
      </w:r>
    </w:p>
  </w:comment>
  <w:comment w:id="4" w:author="Freifrau Hiller von Gaertringen, Annette" w:date="2018-11-16T13:43:00Z" w:initials="FHvGA">
    <w:p w:rsidR="00D27F38" w:rsidRDefault="00D27F38" w:rsidP="00D27F38">
      <w:pPr>
        <w:pStyle w:val="Kommentartext"/>
      </w:pPr>
      <w:r>
        <w:rPr>
          <w:rStyle w:val="Kommentarzeichen"/>
        </w:rPr>
        <w:annotationRef/>
      </w:r>
      <w:r>
        <w:t>Zur besseren Übersicht bitte nicht umgesetzte Ma</w:t>
      </w:r>
      <w:r>
        <w:t>ß</w:t>
      </w:r>
      <w:r>
        <w:t>nahmen durchstreichen</w:t>
      </w:r>
    </w:p>
  </w:comment>
  <w:comment w:id="5" w:author="Freifrau Hiller von Gaertringen, Annette" w:date="2018-11-16T13:43:00Z" w:initials="FHvGA">
    <w:p w:rsidR="00D27F38" w:rsidRDefault="00D27F38" w:rsidP="00D27F38">
      <w:pPr>
        <w:pStyle w:val="Kommentartext"/>
      </w:pPr>
      <w:r>
        <w:rPr>
          <w:rStyle w:val="Kommentarzeichen"/>
        </w:rPr>
        <w:annotationRef/>
      </w:r>
      <w:r>
        <w:t xml:space="preserve">Von dieser Möglichkeit hat ein AN in einem unserer Fälle Gebrauch gemacht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129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38"/>
    <w:rsid w:val="00316747"/>
    <w:rsid w:val="00475CF0"/>
    <w:rsid w:val="009976D1"/>
    <w:rsid w:val="00D27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F38"/>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7F38"/>
    <w:pPr>
      <w:tabs>
        <w:tab w:val="center" w:pos="4536"/>
        <w:tab w:val="right" w:pos="9072"/>
      </w:tabs>
    </w:pPr>
  </w:style>
  <w:style w:type="character" w:customStyle="1" w:styleId="KopfzeileZchn">
    <w:name w:val="Kopfzeile Zchn"/>
    <w:basedOn w:val="Absatz-Standardschriftart"/>
    <w:link w:val="Kopfzeile"/>
    <w:uiPriority w:val="99"/>
    <w:rsid w:val="00D27F38"/>
    <w:rPr>
      <w:rFonts w:ascii="Arial" w:eastAsia="Times New Roman" w:hAnsi="Arial" w:cs="Times New Roman"/>
      <w:szCs w:val="20"/>
      <w:lang w:eastAsia="de-DE"/>
    </w:rPr>
  </w:style>
  <w:style w:type="paragraph" w:styleId="Listenabsatz">
    <w:name w:val="List Paragraph"/>
    <w:basedOn w:val="Standard"/>
    <w:uiPriority w:val="34"/>
    <w:qFormat/>
    <w:rsid w:val="00D27F38"/>
    <w:pPr>
      <w:ind w:left="720"/>
      <w:contextualSpacing/>
    </w:pPr>
  </w:style>
  <w:style w:type="character" w:styleId="Kommentarzeichen">
    <w:name w:val="annotation reference"/>
    <w:basedOn w:val="Absatz-Standardschriftart"/>
    <w:uiPriority w:val="99"/>
    <w:semiHidden/>
    <w:unhideWhenUsed/>
    <w:rsid w:val="00D27F38"/>
    <w:rPr>
      <w:sz w:val="16"/>
      <w:szCs w:val="16"/>
    </w:rPr>
  </w:style>
  <w:style w:type="paragraph" w:styleId="Kommentartext">
    <w:name w:val="annotation text"/>
    <w:basedOn w:val="Standard"/>
    <w:link w:val="KommentartextZchn"/>
    <w:uiPriority w:val="99"/>
    <w:semiHidden/>
    <w:unhideWhenUsed/>
    <w:rsid w:val="00D27F38"/>
    <w:rPr>
      <w:sz w:val="20"/>
    </w:rPr>
  </w:style>
  <w:style w:type="character" w:customStyle="1" w:styleId="KommentartextZchn">
    <w:name w:val="Kommentartext Zchn"/>
    <w:basedOn w:val="Absatz-Standardschriftart"/>
    <w:link w:val="Kommentartext"/>
    <w:uiPriority w:val="99"/>
    <w:semiHidden/>
    <w:rsid w:val="00D27F38"/>
    <w:rPr>
      <w:rFonts w:ascii="Arial" w:eastAsia="Times New Roman" w:hAnsi="Arial" w:cs="Times New Roman"/>
      <w:sz w:val="20"/>
      <w:szCs w:val="20"/>
      <w:lang w:eastAsia="de-DE"/>
    </w:rPr>
  </w:style>
  <w:style w:type="paragraph" w:customStyle="1" w:styleId="Text">
    <w:name w:val="Text"/>
    <w:rsid w:val="00D27F38"/>
    <w:pPr>
      <w:spacing w:after="0" w:line="240" w:lineRule="auto"/>
    </w:pPr>
    <w:rPr>
      <w:rFonts w:ascii="Helvetica" w:eastAsia="ヒラギノ角ゴ Pro W3" w:hAnsi="Helvetica" w:cs="Times New Roman"/>
      <w:color w:val="000000"/>
      <w:sz w:val="24"/>
      <w:szCs w:val="20"/>
      <w:lang w:eastAsia="de-DE"/>
    </w:rPr>
  </w:style>
  <w:style w:type="paragraph" w:styleId="Sprechblasentext">
    <w:name w:val="Balloon Text"/>
    <w:basedOn w:val="Standard"/>
    <w:link w:val="SprechblasentextZchn"/>
    <w:uiPriority w:val="99"/>
    <w:semiHidden/>
    <w:unhideWhenUsed/>
    <w:rsid w:val="00D27F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F3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F38"/>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7F38"/>
    <w:pPr>
      <w:tabs>
        <w:tab w:val="center" w:pos="4536"/>
        <w:tab w:val="right" w:pos="9072"/>
      </w:tabs>
    </w:pPr>
  </w:style>
  <w:style w:type="character" w:customStyle="1" w:styleId="KopfzeileZchn">
    <w:name w:val="Kopfzeile Zchn"/>
    <w:basedOn w:val="Absatz-Standardschriftart"/>
    <w:link w:val="Kopfzeile"/>
    <w:uiPriority w:val="99"/>
    <w:rsid w:val="00D27F38"/>
    <w:rPr>
      <w:rFonts w:ascii="Arial" w:eastAsia="Times New Roman" w:hAnsi="Arial" w:cs="Times New Roman"/>
      <w:szCs w:val="20"/>
      <w:lang w:eastAsia="de-DE"/>
    </w:rPr>
  </w:style>
  <w:style w:type="paragraph" w:styleId="Listenabsatz">
    <w:name w:val="List Paragraph"/>
    <w:basedOn w:val="Standard"/>
    <w:uiPriority w:val="34"/>
    <w:qFormat/>
    <w:rsid w:val="00D27F38"/>
    <w:pPr>
      <w:ind w:left="720"/>
      <w:contextualSpacing/>
    </w:pPr>
  </w:style>
  <w:style w:type="character" w:styleId="Kommentarzeichen">
    <w:name w:val="annotation reference"/>
    <w:basedOn w:val="Absatz-Standardschriftart"/>
    <w:uiPriority w:val="99"/>
    <w:semiHidden/>
    <w:unhideWhenUsed/>
    <w:rsid w:val="00D27F38"/>
    <w:rPr>
      <w:sz w:val="16"/>
      <w:szCs w:val="16"/>
    </w:rPr>
  </w:style>
  <w:style w:type="paragraph" w:styleId="Kommentartext">
    <w:name w:val="annotation text"/>
    <w:basedOn w:val="Standard"/>
    <w:link w:val="KommentartextZchn"/>
    <w:uiPriority w:val="99"/>
    <w:semiHidden/>
    <w:unhideWhenUsed/>
    <w:rsid w:val="00D27F38"/>
    <w:rPr>
      <w:sz w:val="20"/>
    </w:rPr>
  </w:style>
  <w:style w:type="character" w:customStyle="1" w:styleId="KommentartextZchn">
    <w:name w:val="Kommentartext Zchn"/>
    <w:basedOn w:val="Absatz-Standardschriftart"/>
    <w:link w:val="Kommentartext"/>
    <w:uiPriority w:val="99"/>
    <w:semiHidden/>
    <w:rsid w:val="00D27F38"/>
    <w:rPr>
      <w:rFonts w:ascii="Arial" w:eastAsia="Times New Roman" w:hAnsi="Arial" w:cs="Times New Roman"/>
      <w:sz w:val="20"/>
      <w:szCs w:val="20"/>
      <w:lang w:eastAsia="de-DE"/>
    </w:rPr>
  </w:style>
  <w:style w:type="paragraph" w:customStyle="1" w:styleId="Text">
    <w:name w:val="Text"/>
    <w:rsid w:val="00D27F38"/>
    <w:pPr>
      <w:spacing w:after="0" w:line="240" w:lineRule="auto"/>
    </w:pPr>
    <w:rPr>
      <w:rFonts w:ascii="Helvetica" w:eastAsia="ヒラギノ角ゴ Pro W3" w:hAnsi="Helvetica" w:cs="Times New Roman"/>
      <w:color w:val="000000"/>
      <w:sz w:val="24"/>
      <w:szCs w:val="20"/>
      <w:lang w:eastAsia="de-DE"/>
    </w:rPr>
  </w:style>
  <w:style w:type="paragraph" w:styleId="Sprechblasentext">
    <w:name w:val="Balloon Text"/>
    <w:basedOn w:val="Standard"/>
    <w:link w:val="SprechblasentextZchn"/>
    <w:uiPriority w:val="99"/>
    <w:semiHidden/>
    <w:unhideWhenUsed/>
    <w:rsid w:val="00D27F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F3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E8C170E1</Template>
  <TotalTime>0</TotalTime>
  <Pages>8</Pages>
  <Words>1950</Words>
  <Characters>12288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Freifrau Hiller von Gaertringen, Annette</dc:creator>
  <cp:lastModifiedBy>Freifrau Hiller von Gaertringen, Annette</cp:lastModifiedBy>
  <cp:revision>2</cp:revision>
  <dcterms:created xsi:type="dcterms:W3CDTF">2018-11-16T12:46:00Z</dcterms:created>
  <dcterms:modified xsi:type="dcterms:W3CDTF">2018-11-16T12:46:00Z</dcterms:modified>
</cp:coreProperties>
</file>