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n-US"/>
        </w:rPr>
      </w:pPr>
      <w:r>
        <w:rPr>
          <w:lang w:val="en-US"/>
        </w:rPr>
        <w:t>Only refer to maximum 15-20 of the last theses. Simply list these on the backcover without underlaying them with an extra box.</w:t>
      </w:r>
    </w:p>
    <w:p>
      <w:pPr>
        <w:pStyle w:val="List"/>
        <w:numPr>
          <w:ilvl w:val="0"/>
          <w:numId w:val="0"/>
        </w:numPr>
        <w:tabs>
          <w:tab w:val="left" w:pos="708" w:leader="none"/>
        </w:tabs>
        <w:spacing w:before="0" w:after="60"/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Recent doctoral theses at Bioprocess Engineering, TU Berlin</w:t>
      </w:r>
    </w:p>
    <w:p>
      <w:pPr>
        <w:pStyle w:val="List"/>
        <w:numPr>
          <w:ilvl w:val="0"/>
          <w:numId w:val="2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Niels Krausch (2024</w:t>
      </w:r>
      <w:r>
        <w:rPr>
          <w:rFonts w:cs="Arial" w:ascii="Arial" w:hAnsi="Arial"/>
          <w:sz w:val="20"/>
          <w:szCs w:val="20"/>
          <w:lang w:val="en-US" w:eastAsia="de-DE"/>
        </w:rPr>
        <w:t xml:space="preserve">) Optimal operation of small-scale bioprocesses using model predictive control </w:t>
      </w:r>
    </w:p>
    <w:p>
      <w:pPr>
        <w:pStyle w:val="List"/>
        <w:numPr>
          <w:ilvl w:val="0"/>
          <w:numId w:val="2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Theresa Menzel (2</w:t>
      </w:r>
      <w:r>
        <w:rPr>
          <w:rFonts w:eastAsia="Calibri" w:cs="Arial" w:ascii="Arial" w:hAnsi="Arial" w:eastAsiaTheme="minorHAnsi"/>
          <w:color w:val="auto"/>
          <w:kern w:val="0"/>
          <w:sz w:val="20"/>
          <w:szCs w:val="20"/>
          <w:lang w:val="en-US" w:eastAsia="de-DE" w:bidi="ar-SA"/>
        </w:rPr>
        <w:t xml:space="preserve">023) Potential of gradient monitoring, bioaugmentation, and thin-slurry recirculation for microbial plug-flow hydrolysis of lignocellulosic residues </w:t>
      </w:r>
    </w:p>
    <w:p>
      <w:pPr>
        <w:pStyle w:val="List"/>
        <w:numPr>
          <w:ilvl w:val="0"/>
          <w:numId w:val="30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Annina Kemmer (2023) Development of advanced feeding strategies for high throughput mini-bioreactor systems</w:t>
      </w:r>
    </w:p>
    <w:p>
      <w:pPr>
        <w:pStyle w:val="List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commentRangeStart w:id="0"/>
      <w:r>
        <w:rPr>
          <w:rFonts w:cs="Arial" w:ascii="Arial" w:hAnsi="Arial"/>
          <w:sz w:val="20"/>
          <w:szCs w:val="20"/>
          <w:lang w:val="en-US"/>
        </w:rPr>
        <w:t>Ann-Kristin Muhsmann (2023) Comprehensive automation of cultivation, testing and analysis of complex microphysiological systems</w:t>
      </w:r>
    </w:p>
    <w:p>
      <w:pPr>
        <w:pStyle w:val="List"/>
        <w:numPr>
          <w:ilvl w:val="0"/>
          <w:numId w:val="3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Imke Weishaupt (2023) Near Infrared Spectroscopy as Inline Analytical Tool to Optimize the Pasteurization Process of Liquid Foods</w:t>
      </w:r>
    </w:p>
    <w:p>
      <w:pPr>
        <w:pStyle w:val="List"/>
        <w:numPr>
          <w:ilvl w:val="0"/>
          <w:numId w:val="3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Patrick Wefing (2023) Continuous mashing and real-time quality control</w:t>
      </w:r>
      <w:commentRangeEnd w:id="0"/>
      <w:r>
        <w:commentReference w:id="0"/>
      </w: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"/>
        <w:numPr>
          <w:ilvl w:val="0"/>
          <w:numId w:val="3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Björn Gutschmann (2022) Process development and monitoring of polyhydroxyalkanoate production from oleaginous feedstocks with Ralstonia eutropha</w:t>
      </w:r>
    </w:p>
    <w:p>
      <w:pPr>
        <w:pStyle w:val="ListParagraph"/>
        <w:numPr>
          <w:ilvl w:val="0"/>
          <w:numId w:val="35"/>
        </w:numPr>
        <w:spacing w:before="0" w:after="120"/>
        <w:ind w:left="284" w:hanging="284"/>
        <w:contextualSpacing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cs="Arial" w:ascii="Arial" w:hAnsi="Arial"/>
          <w:sz w:val="20"/>
          <w:szCs w:val="20"/>
          <w:lang w:val="en-US"/>
        </w:rPr>
        <w:t xml:space="preserve">Qin Fan (2022) </w:t>
      </w:r>
      <w:r>
        <w:rPr>
          <w:rFonts w:cs="Arial" w:ascii="Arial" w:hAnsi="Arial"/>
          <w:sz w:val="20"/>
          <w:szCs w:val="20"/>
          <w:lang w:val="en-US" w:eastAsia="de-DE"/>
        </w:rPr>
        <w:t>Development of a bioprocess for heterologous hydrogenase production in Escherichia coli</w:t>
      </w:r>
    </w:p>
    <w:p>
      <w:pPr>
        <w:pStyle w:val="List"/>
        <w:numPr>
          <w:ilvl w:val="0"/>
          <w:numId w:val="3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Maryke Fehlau (2022) </w:t>
      </w:r>
      <w:bookmarkStart w:id="0" w:name="_Hlk118624775"/>
      <w:r>
        <w:rPr>
          <w:rFonts w:cs="Arial" w:ascii="Arial" w:hAnsi="Arial"/>
          <w:sz w:val="20"/>
          <w:szCs w:val="20"/>
          <w:lang w:val="en-US"/>
        </w:rPr>
        <w:t>Enzymatic Synthesis of Nucleoside 5’-Triphosphates</w:t>
      </w:r>
      <w:bookmarkEnd w:id="0"/>
    </w:p>
    <w:p>
      <w:pPr>
        <w:pStyle w:val="List"/>
        <w:numPr>
          <w:ilvl w:val="0"/>
          <w:numId w:val="3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Felix Kaspar (2021) </w:t>
      </w:r>
      <w:bookmarkStart w:id="1" w:name="_Hlk118624684"/>
      <w:r>
        <w:rPr>
          <w:rFonts w:cs="Arial" w:ascii="Arial" w:hAnsi="Arial"/>
          <w:sz w:val="20"/>
          <w:szCs w:val="20"/>
          <w:lang w:val="en-US"/>
        </w:rPr>
        <w:t>Analytical methods and thermodynamic frameworks for efficient biocatalytic nucleoside synthesis via nucleoside phosphorylases</w:t>
      </w:r>
      <w:bookmarkEnd w:id="1"/>
    </w:p>
    <w:p>
      <w:pPr>
        <w:pStyle w:val="List"/>
        <w:numPr>
          <w:ilvl w:val="0"/>
          <w:numId w:val="3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Sebastian Hans </w:t>
      </w:r>
      <w:bookmarkStart w:id="2" w:name="_Hlk118624671"/>
      <w:r>
        <w:rPr>
          <w:rFonts w:cs="Arial" w:ascii="Arial" w:hAnsi="Arial"/>
          <w:sz w:val="20"/>
          <w:szCs w:val="20"/>
          <w:lang w:val="en-US"/>
        </w:rPr>
        <w:t>(2021) Accelerating biological screenings through the combination of high-throughput and modeling</w:t>
      </w:r>
      <w:bookmarkEnd w:id="2"/>
    </w:p>
    <w:p>
      <w:pPr>
        <w:pStyle w:val="List"/>
        <w:numPr>
          <w:ilvl w:val="0"/>
          <w:numId w:val="39"/>
        </w:numPr>
        <w:rPr>
          <w:rFonts w:ascii="Arial" w:hAnsi="Arial" w:cs="Arial"/>
          <w:sz w:val="20"/>
          <w:szCs w:val="20"/>
          <w:lang w:val="en-US"/>
        </w:rPr>
      </w:pPr>
      <w:bookmarkStart w:id="3" w:name="_Hlk118624645"/>
      <w:bookmarkEnd w:id="3"/>
      <w:r>
        <w:rPr>
          <w:rFonts w:cs="Arial" w:ascii="Arial" w:hAnsi="Arial"/>
          <w:sz w:val="20"/>
          <w:szCs w:val="20"/>
          <w:lang w:val="en-US"/>
        </w:rPr>
        <w:t>Robert Giessmann (2020) Prediction of kinetics and yields of nucleoside phosphorylase reactions and derived enzymatic reaction cascades</w:t>
      </w:r>
    </w:p>
    <w:p>
      <w:pPr>
        <w:pStyle w:val="List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bookmarkStart w:id="4" w:name="_Hlk118624645_Kopie_1"/>
      <w:bookmarkStart w:id="5" w:name="_Hlk118624626"/>
      <w:bookmarkEnd w:id="4"/>
      <w:bookmarkEnd w:id="5"/>
      <w:r>
        <w:rPr>
          <w:rFonts w:cs="Arial" w:ascii="Arial" w:hAnsi="Arial"/>
          <w:sz w:val="20"/>
          <w:szCs w:val="20"/>
          <w:lang w:val="en-US"/>
        </w:rPr>
        <w:t>Klaus Pellicer Alborch (2020) Cocci chain length distribution as control parameter in scaling lactic acid fermentations</w:t>
      </w:r>
    </w:p>
    <w:p>
      <w:pPr>
        <w:pStyle w:val="List"/>
        <w:numPr>
          <w:ilvl w:val="0"/>
          <w:numId w:val="41"/>
        </w:numPr>
        <w:rPr>
          <w:rFonts w:ascii="Arial" w:hAnsi="Arial" w:cs="Arial"/>
          <w:sz w:val="20"/>
          <w:szCs w:val="20"/>
          <w:lang w:val="en-US"/>
        </w:rPr>
      </w:pPr>
      <w:bookmarkStart w:id="6" w:name="_Hlk118624626_Kopie_1"/>
      <w:bookmarkStart w:id="7" w:name="_Hlk118624577"/>
      <w:bookmarkEnd w:id="6"/>
      <w:bookmarkEnd w:id="7"/>
      <w:r>
        <w:rPr>
          <w:rFonts w:cs="Arial" w:ascii="Arial" w:hAnsi="Arial"/>
          <w:sz w:val="20"/>
          <w:szCs w:val="20"/>
          <w:lang w:val="en-US"/>
        </w:rPr>
        <w:t>Ángel Córcoles García (2019) Molecular genetic approaches to decrease mis-incorporation of non-canonical branched chain amino acids into a recombinant protein in Escherichia coli</w:t>
      </w:r>
    </w:p>
    <w:p>
      <w:pPr>
        <w:pStyle w:val="List"/>
        <w:numPr>
          <w:ilvl w:val="0"/>
          <w:numId w:val="42"/>
        </w:numPr>
        <w:rPr>
          <w:rFonts w:ascii="Arial" w:hAnsi="Arial" w:cs="Arial"/>
          <w:sz w:val="20"/>
          <w:szCs w:val="20"/>
          <w:lang w:val="en-US"/>
        </w:rPr>
      </w:pPr>
      <w:bookmarkStart w:id="8" w:name="_Hlk118624577_Kopie_1"/>
      <w:bookmarkStart w:id="9" w:name="_Hlk118624595"/>
      <w:bookmarkEnd w:id="8"/>
      <w:bookmarkEnd w:id="9"/>
      <w:r>
        <w:rPr>
          <w:rFonts w:cs="Arial" w:ascii="Arial" w:hAnsi="Arial"/>
          <w:sz w:val="20"/>
          <w:szCs w:val="20"/>
          <w:lang w:val="en-US"/>
        </w:rPr>
        <w:t xml:space="preserve">Moonsung Cho (2019) Suspension of a point-mass-loaded filament in non-uniform flows: the ballooning flight of spiders </w:t>
      </w:r>
    </w:p>
    <w:p>
      <w:pPr>
        <w:pStyle w:val="List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bookmarkStart w:id="10" w:name="_Hlk118624552"/>
      <w:bookmarkStart w:id="11" w:name="_Hlk118624595_Kopie_1"/>
      <w:bookmarkEnd w:id="11"/>
      <w:r>
        <w:rPr>
          <w:rFonts w:cs="Arial" w:ascii="Arial" w:hAnsi="Arial"/>
          <w:sz w:val="20"/>
          <w:szCs w:val="20"/>
          <w:lang w:val="en-US"/>
        </w:rPr>
        <w:t xml:space="preserve">Sarah Kamel (2019) Enzymatic synthesis of </w:t>
      </w:r>
      <w:r>
        <w:rPr>
          <w:rFonts w:cs="Arial" w:ascii="Symbol" w:hAnsi="Symbol"/>
          <w:sz w:val="20"/>
          <w:szCs w:val="20"/>
          <w:lang w:val="en-US"/>
        </w:rPr>
        <w:t></w:t>
      </w:r>
      <w:r>
        <w:rPr>
          <w:rFonts w:cs="Arial" w:ascii="Arial" w:hAnsi="Arial"/>
          <w:sz w:val="20"/>
          <w:szCs w:val="20"/>
          <w:lang w:val="en-US"/>
        </w:rPr>
        <w:t>-D-pentosefuranose-1-phosphate</w:t>
      </w:r>
      <w:bookmarkEnd w:id="10"/>
    </w:p>
    <w:p>
      <w:pPr>
        <w:pStyle w:val="List"/>
        <w:numPr>
          <w:ilvl w:val="0"/>
          <w:numId w:val="4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Heba Yehia Mohamed (2019) </w:t>
      </w:r>
      <w:bookmarkStart w:id="12" w:name="_Hlk118624500"/>
      <w:r>
        <w:rPr>
          <w:rFonts w:cs="Arial" w:ascii="Arial" w:hAnsi="Arial"/>
          <w:sz w:val="20"/>
          <w:szCs w:val="20"/>
          <w:lang w:val="en-US"/>
        </w:rPr>
        <w:t xml:space="preserve">Chemoenzymatic synthesis of nucleoside analogs as potential medicinal agents </w:t>
      </w:r>
      <w:bookmarkEnd w:id="12"/>
    </w:p>
    <w:p>
      <w:pPr>
        <w:pStyle w:val="List"/>
        <w:numPr>
          <w:ilvl w:val="0"/>
          <w:numId w:val="4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Funda C. Ertem (2019) Life cycle assessment and modeling approaches as a combined evaluation tool for sustainable control strategies at biogas plants</w:t>
      </w:r>
    </w:p>
    <w:p>
      <w:pPr>
        <w:pStyle w:val="List"/>
        <w:numPr>
          <w:ilvl w:val="0"/>
          <w:numId w:val="46"/>
        </w:numPr>
        <w:rPr>
          <w:rFonts w:ascii="Arial" w:hAnsi="Arial" w:cs="Arial"/>
          <w:sz w:val="20"/>
          <w:szCs w:val="20"/>
          <w:lang w:val="en-US"/>
        </w:rPr>
      </w:pPr>
      <w:bookmarkStart w:id="13" w:name="_Hlk137549347"/>
      <w:r>
        <w:rPr>
          <w:rFonts w:cs="Arial" w:ascii="Arial" w:hAnsi="Arial"/>
          <w:sz w:val="20"/>
          <w:szCs w:val="20"/>
          <w:lang w:val="en-US"/>
        </w:rPr>
        <w:t>Emmanuel Anane (2019) Model based strategies for scale-down studies in fed-batch cultivation of Escherichia coli expressing protein</w:t>
      </w:r>
      <w:bookmarkEnd w:id="13"/>
    </w:p>
    <w:p>
      <w:pPr>
        <w:pStyle w:val="List"/>
        <w:numPr>
          <w:ilvl w:val="0"/>
          <w:numId w:val="4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Ekaterina Osmekhina (2018) Quantitative approach for detection of RNA and proteins by sandwich hybridization technology</w:t>
      </w:r>
    </w:p>
    <w:p>
      <w:pPr>
        <w:pStyle w:val="List"/>
        <w:numPr>
          <w:ilvl w:val="0"/>
          <w:numId w:val="4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Elvis Legala Ongey (2018) Reconstruction of the lanthipeptide ruminococcin-A biosynthesis machinery in Escherichia coli and structural characterization</w:t>
      </w:r>
    </w:p>
    <w:p>
      <w:pPr>
        <w:pStyle w:val="List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Anika Bockisch (2018) Mobile multi-parameter measurements for the dynamic analysis of gradients in brewing vessels</w:t>
      </w:r>
    </w:p>
    <w:p>
      <w:pPr>
        <w:pStyle w:val="List"/>
        <w:numPr>
          <w:ilvl w:val="0"/>
          <w:numId w:val="50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Juan Antonio Arzate (2018) Modeling and simulation of biogas production based on anaerobic digestion of energy crops and manure</w:t>
      </w:r>
    </w:p>
    <w:p>
      <w:pPr>
        <w:pStyle w:val="List"/>
        <w:numPr>
          <w:ilvl w:val="0"/>
          <w:numId w:val="5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GB"/>
        </w:rPr>
        <w:t>Anna Maria Marbá (2018) Monitoring of the single-cell morphology for the evaluation of microbial eukaryotic bioprocesses</w:t>
      </w:r>
    </w:p>
    <w:p>
      <w:pPr>
        <w:pStyle w:val="List"/>
        <w:numPr>
          <w:ilvl w:val="0"/>
          <w:numId w:val="5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GB"/>
        </w:rPr>
        <w:t>Martin Kögler (2018) Advanced Raman spectroscopy for bioprocess monitoring</w:t>
      </w:r>
    </w:p>
    <w:p>
      <w:pPr>
        <w:pStyle w:val="List"/>
        <w:numPr>
          <w:ilvl w:val="0"/>
          <w:numId w:val="0"/>
        </w:numPr>
        <w:tabs>
          <w:tab w:val="left" w:pos="708" w:leader="none"/>
        </w:tabs>
        <w:spacing w:before="0" w:after="60"/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"/>
        <w:numPr>
          <w:ilvl w:val="0"/>
          <w:numId w:val="0"/>
        </w:numPr>
        <w:tabs>
          <w:tab w:val="left" w:pos="708" w:leader="none"/>
        </w:tabs>
        <w:spacing w:before="0" w:after="60"/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Full copies of the theses are available at </w:t>
      </w:r>
      <w:hyperlink r:id="rId2">
        <w:r>
          <w:rPr>
            <w:rStyle w:val="Hyperlink"/>
            <w:rFonts w:cs="Arial" w:ascii="Arial" w:hAnsi="Arial"/>
            <w:sz w:val="20"/>
            <w:szCs w:val="20"/>
            <w:lang w:val="en-US"/>
          </w:rPr>
          <w:t>https://depositonce.tu-berlin.de/</w:t>
        </w:r>
      </w:hyperlink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6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kemmer@tu-berlin.de" w:date="2024-04-02T09:28:57Z" w:initials="">
    <w:p>
      <w:pPr>
        <w:overflowPunct w:val="false"/>
        <w:spacing w:before="0" w:after="0" w:lineRule="auto" w:line="240"/>
        <w:rPr/>
      </w:pPr>
      <w:r>
        <w:rPr>
          <w:rFonts w:ascii="Carlito" w:hAnsi="Carlito" w:eastAsia="DejaVu Sans" w:cs="DejaVu Sans"/>
          <w:sz w:val="24"/>
          <w:szCs w:val="24"/>
          <w:lang w:val="en-US" w:eastAsia="en-US" w:bidi="en-US"/>
        </w:rPr>
        <w:t>theses of external PhDs -&gt; include?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ms Rmn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sz w:val="18"/>
        <w:szCs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"/>
    <w:lvlOverride w:ilvl="0">
      <w:startOverride w:val="1"/>
    </w:lvlOverride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b218c5"/>
    <w:rPr>
      <w:color w:val="0563C1"/>
      <w:u w:val="singl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uiPriority w:val="99"/>
    <w:semiHidden/>
    <w:unhideWhenUsed/>
    <w:rsid w:val="00b218c5"/>
    <w:pPr>
      <w:numPr>
        <w:ilvl w:val="0"/>
        <w:numId w:val="1"/>
      </w:numPr>
      <w:spacing w:lineRule="auto" w:line="240" w:before="0" w:after="120"/>
      <w:ind w:left="357" w:hanging="357"/>
    </w:pPr>
    <w:rPr>
      <w:rFonts w:ascii="Tms Rmn" w:hAnsi="Tms Rmn" w:cs="Times New Roman"/>
      <w:sz w:val="24"/>
      <w:szCs w:val="24"/>
      <w:lang w:eastAsia="de-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a37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positonce.tu-berlin.de/" TargetMode="Externa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Collabora_Office/23.05.4.2$Linux_X86_64 LibreOffice_project/78039c571ee219e97241942474147d63532d716c</Application>
  <AppVersion>15.0000</AppVersion>
  <Pages>2</Pages>
  <Words>438</Words>
  <Characters>2922</Characters>
  <CharactersWithSpaces>3310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2021-10-06T19:55:00Z</dcterms:created>
  <dc:creator>Peter Neubauer</dc:creator>
  <dc:description/>
  <dc:language>de-DE</dc:language>
  <cp:lastModifiedBy/>
  <dcterms:modified xsi:type="dcterms:W3CDTF">2024-04-02T09:29:50Z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